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D20FF8" w:rsidP="00F02BD5">
      <w:pPr>
        <w:pStyle w:val="Heading1"/>
      </w:pPr>
      <w:r>
        <w:t>Preparing Tables and Figures: Some Basics</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w:t>
      </w:r>
      <w:r w:rsidR="00D20FF8">
        <w:t xml:space="preserve">fit well with the </w:t>
      </w:r>
      <w:r>
        <w:t xml:space="preserve">modules on writing </w:t>
      </w:r>
      <w:r w:rsidR="00D20FF8">
        <w:t>the</w:t>
      </w:r>
      <w:r>
        <w:t xml:space="preserve"> parts of a journal article. </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3864C3" w:rsidP="00B031EB">
            <w:pPr>
              <w:rPr>
                <w:rFonts w:cs="Arial"/>
                <w:color w:val="002060"/>
              </w:rPr>
            </w:pPr>
            <w:r>
              <w:rPr>
                <w:rFonts w:cs="Arial"/>
                <w:color w:val="002060"/>
              </w:rPr>
              <w:t>Preparing Tables and Figures: Some Basics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Default="002A037A" w:rsidP="00ED5161">
            <w:pPr>
              <w:rPr>
                <w:rFonts w:cs="Arial"/>
                <w:color w:val="002060"/>
              </w:rPr>
            </w:pPr>
            <w:r w:rsidRPr="007E27E0">
              <w:rPr>
                <w:rFonts w:cs="Arial"/>
                <w:color w:val="002060"/>
              </w:rPr>
              <w:t xml:space="preserve">This module </w:t>
            </w:r>
            <w:r w:rsidR="00207394">
              <w:rPr>
                <w:rFonts w:cs="Arial"/>
                <w:color w:val="002060"/>
              </w:rPr>
              <w:t>typically</w:t>
            </w:r>
            <w:r w:rsidR="00DE3F04">
              <w:rPr>
                <w:rFonts w:cs="Arial"/>
                <w:color w:val="002060"/>
              </w:rPr>
              <w:t xml:space="preserve"> would be part of a workshop or course largely on writing and publishing journal articles on research.</w:t>
            </w:r>
            <w:r w:rsidR="00ED5161">
              <w:rPr>
                <w:rFonts w:cs="Arial"/>
                <w:color w:val="002060"/>
              </w:rPr>
              <w:t xml:space="preserve"> It </w:t>
            </w:r>
            <w:r w:rsidR="00D20FF8">
              <w:rPr>
                <w:rFonts w:cs="Arial"/>
                <w:color w:val="002060"/>
              </w:rPr>
              <w:t>fits well with the</w:t>
            </w:r>
            <w:r w:rsidR="00ED5161">
              <w:rPr>
                <w:rFonts w:cs="Arial"/>
                <w:color w:val="002060"/>
              </w:rPr>
              <w:t xml:space="preserve"> set of four modules</w:t>
            </w:r>
            <w:r w:rsidR="00D20FF8">
              <w:rPr>
                <w:rFonts w:cs="Arial"/>
                <w:color w:val="002060"/>
              </w:rPr>
              <w:t xml:space="preserve"> on writing the four respective parts of an IMRAD-structure</w:t>
            </w:r>
            <w:r w:rsidR="00ED5161">
              <w:rPr>
                <w:rFonts w:cs="Arial"/>
                <w:color w:val="002060"/>
              </w:rPr>
              <w:t xml:space="preserve"> journal article</w:t>
            </w:r>
            <w:r w:rsidR="00D20FF8">
              <w:rPr>
                <w:rFonts w:cs="Arial"/>
                <w:color w:val="002060"/>
              </w:rPr>
              <w:t xml:space="preserve"> </w:t>
            </w:r>
            <w:r w:rsidR="00ED5161">
              <w:rPr>
                <w:rFonts w:cs="Arial"/>
                <w:color w:val="002060"/>
              </w:rPr>
              <w:t>(Introduction, Methods, Results, and Discussion).</w:t>
            </w:r>
          </w:p>
          <w:p w:rsidR="00D20FF8" w:rsidRPr="00DE3F04" w:rsidRDefault="00D20FF8" w:rsidP="00352456">
            <w:pPr>
              <w:rPr>
                <w:rFonts w:cs="Arial"/>
                <w:color w:val="002060"/>
              </w:rPr>
            </w:pPr>
            <w:r>
              <w:rPr>
                <w:rFonts w:cs="Arial"/>
                <w:color w:val="002060"/>
              </w:rPr>
              <w:t xml:space="preserve">Because the results section typically includes most or all of the figures and tables, </w:t>
            </w:r>
            <w:r w:rsidR="00352456">
              <w:rPr>
                <w:rFonts w:cs="Arial"/>
                <w:color w:val="002060"/>
              </w:rPr>
              <w:t>presenting</w:t>
            </w:r>
            <w:r>
              <w:rPr>
                <w:rFonts w:cs="Arial"/>
                <w:color w:val="002060"/>
              </w:rPr>
              <w:t xml:space="preserve"> this module immediately before or after the module on writing the results section</w:t>
            </w:r>
            <w:r w:rsidR="00352456">
              <w:rPr>
                <w:rFonts w:cs="Arial"/>
                <w:color w:val="002060"/>
              </w:rPr>
              <w:t xml:space="preserve"> can work well</w:t>
            </w:r>
            <w:r>
              <w:rPr>
                <w:rFonts w:cs="Arial"/>
                <w:color w:val="002060"/>
              </w:rPr>
              <w:t xml:space="preserve">. </w:t>
            </w:r>
            <w:r w:rsidR="00352456">
              <w:rPr>
                <w:rFonts w:cs="Arial"/>
                <w:color w:val="002060"/>
              </w:rPr>
              <w:t>This module</w:t>
            </w:r>
            <w:r>
              <w:rPr>
                <w:rFonts w:cs="Arial"/>
                <w:color w:val="002060"/>
              </w:rPr>
              <w:t xml:space="preserve"> also can be combined with th</w:t>
            </w:r>
            <w:r w:rsidR="00352456">
              <w:rPr>
                <w:rFonts w:cs="Arial"/>
                <w:color w:val="002060"/>
              </w:rPr>
              <w:t>e results</w:t>
            </w:r>
            <w:r>
              <w:rPr>
                <w:rFonts w:cs="Arial"/>
                <w:color w:val="002060"/>
              </w:rPr>
              <w:t xml:space="preserve"> module. Alternatively, the module may be presented earlier or later.</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Default="004338B1" w:rsidP="008246DC">
            <w:pPr>
              <w:rPr>
                <w:rFonts w:cs="Arial"/>
                <w:color w:val="002060"/>
              </w:rPr>
            </w:pPr>
            <w:r w:rsidRPr="007E27E0">
              <w:rPr>
                <w:rFonts w:cs="Arial"/>
                <w:color w:val="002060"/>
              </w:rPr>
              <w:t xml:space="preserve">This module typically would run about </w:t>
            </w:r>
            <w:r w:rsidR="008246DC">
              <w:rPr>
                <w:rFonts w:cs="Arial"/>
                <w:color w:val="002060"/>
              </w:rPr>
              <w:t>45 to 60</w:t>
            </w:r>
            <w:r w:rsidR="000F13AF">
              <w:rPr>
                <w:rFonts w:cs="Arial"/>
                <w:color w:val="002060"/>
              </w:rPr>
              <w:t xml:space="preserve"> minutes if participants have not brought drafts to revise. If they have brought drafts, </w:t>
            </w:r>
            <w:r w:rsidR="008246DC">
              <w:rPr>
                <w:rFonts w:cs="Arial"/>
                <w:color w:val="002060"/>
              </w:rPr>
              <w:t>it</w:t>
            </w:r>
            <w:r w:rsidR="000F13AF">
              <w:rPr>
                <w:rFonts w:cs="Arial"/>
                <w:color w:val="002060"/>
              </w:rPr>
              <w:t xml:space="preserve"> typically would run 60 to 90 minutes.</w:t>
            </w:r>
            <w:r w:rsidR="00207394">
              <w:rPr>
                <w:rFonts w:cs="Arial"/>
                <w:color w:val="002060"/>
              </w:rPr>
              <w:t xml:space="preserve"> </w:t>
            </w:r>
          </w:p>
          <w:p w:rsidR="008246DC" w:rsidRPr="007E27E0" w:rsidRDefault="008246DC" w:rsidP="00C61225">
            <w:pPr>
              <w:rPr>
                <w:rFonts w:cs="Arial"/>
                <w:color w:val="002060"/>
              </w:rPr>
            </w:pPr>
            <w:r>
              <w:rPr>
                <w:rFonts w:cs="Arial"/>
                <w:color w:val="002060"/>
              </w:rPr>
              <w:t xml:space="preserve">If the module is </w:t>
            </w:r>
            <w:r w:rsidR="00361DE5">
              <w:rPr>
                <w:rFonts w:cs="Arial"/>
                <w:color w:val="002060"/>
              </w:rPr>
              <w:t>in</w:t>
            </w:r>
            <w:r>
              <w:rPr>
                <w:rFonts w:cs="Arial"/>
                <w:color w:val="002060"/>
              </w:rPr>
              <w:t xml:space="preserve"> a workshop or course </w:t>
            </w:r>
            <w:r w:rsidR="00361DE5">
              <w:rPr>
                <w:rFonts w:cs="Arial"/>
                <w:color w:val="002060"/>
              </w:rPr>
              <w:t>where</w:t>
            </w:r>
            <w:r>
              <w:rPr>
                <w:rFonts w:cs="Arial"/>
                <w:color w:val="002060"/>
              </w:rPr>
              <w:t xml:space="preserve"> participants </w:t>
            </w:r>
            <w:r w:rsidR="00361DE5">
              <w:rPr>
                <w:rFonts w:cs="Arial"/>
                <w:color w:val="002060"/>
              </w:rPr>
              <w:t>write</w:t>
            </w:r>
            <w:r>
              <w:rPr>
                <w:rFonts w:cs="Arial"/>
                <w:color w:val="002060"/>
              </w:rPr>
              <w:t xml:space="preserve"> journal articles, it can be advisable to </w:t>
            </w:r>
            <w:r w:rsidR="00361DE5">
              <w:rPr>
                <w:rFonts w:cs="Arial"/>
                <w:color w:val="002060"/>
              </w:rPr>
              <w:t xml:space="preserve">(1) </w:t>
            </w:r>
            <w:r>
              <w:rPr>
                <w:rFonts w:cs="Arial"/>
                <w:color w:val="002060"/>
              </w:rPr>
              <w:t xml:space="preserve">have the course participants draft </w:t>
            </w:r>
            <w:r w:rsidR="00C61225">
              <w:rPr>
                <w:rFonts w:cs="Arial"/>
                <w:color w:val="002060"/>
              </w:rPr>
              <w:t>or revise at least some of their tables and figures</w:t>
            </w:r>
            <w:r>
              <w:rPr>
                <w:rFonts w:cs="Arial"/>
                <w:color w:val="002060"/>
              </w:rPr>
              <w:t xml:space="preserve"> after this session and </w:t>
            </w:r>
            <w:r w:rsidR="00361DE5">
              <w:rPr>
                <w:rFonts w:cs="Arial"/>
                <w:color w:val="002060"/>
              </w:rPr>
              <w:t>(2)</w:t>
            </w:r>
            <w:r>
              <w:rPr>
                <w:rFonts w:cs="Arial"/>
                <w:color w:val="002060"/>
              </w:rPr>
              <w:t xml:space="preserve"> </w:t>
            </w:r>
            <w:r w:rsidR="00361DE5">
              <w:rPr>
                <w:rFonts w:cs="Arial"/>
                <w:color w:val="002060"/>
              </w:rPr>
              <w:t>have</w:t>
            </w:r>
            <w:r>
              <w:rPr>
                <w:rFonts w:cs="Arial"/>
                <w:color w:val="002060"/>
              </w:rPr>
              <w:t xml:space="preserve"> participants meet in small groups </w:t>
            </w:r>
            <w:r w:rsidR="00361DE5">
              <w:rPr>
                <w:rFonts w:cs="Arial"/>
                <w:color w:val="002060"/>
              </w:rPr>
              <w:t xml:space="preserve">on a later date </w:t>
            </w:r>
            <w:r>
              <w:rPr>
                <w:rFonts w:cs="Arial"/>
                <w:color w:val="002060"/>
              </w:rPr>
              <w:t xml:space="preserve">to </w:t>
            </w:r>
            <w:r w:rsidR="00C61225">
              <w:rPr>
                <w:rFonts w:cs="Arial"/>
                <w:color w:val="002060"/>
              </w:rPr>
              <w:t>review</w:t>
            </w:r>
            <w:r>
              <w:rPr>
                <w:rFonts w:cs="Arial"/>
                <w:color w:val="002060"/>
              </w:rPr>
              <w:t xml:space="preserve"> and provide feedback on eac</w:t>
            </w:r>
            <w:r w:rsidR="00C61225">
              <w:rPr>
                <w:rFonts w:cs="Arial"/>
                <w:color w:val="002060"/>
              </w:rPr>
              <w:t>h other’s tables and figures.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C61225" w:rsidRPr="007E27E0" w:rsidRDefault="002A037A" w:rsidP="00C61225">
            <w:pPr>
              <w:rPr>
                <w:rFonts w:cs="Arial"/>
                <w:color w:val="002060"/>
              </w:rPr>
            </w:pPr>
            <w:r w:rsidRPr="007E27E0">
              <w:rPr>
                <w:rFonts w:cs="Arial"/>
                <w:color w:val="002060"/>
              </w:rPr>
              <w:t xml:space="preserve">This module is intended mainly to </w:t>
            </w:r>
            <w:r w:rsidR="00A179EA">
              <w:rPr>
                <w:rFonts w:cs="Arial"/>
                <w:color w:val="002060"/>
              </w:rPr>
              <w:t xml:space="preserve">increase participants’ </w:t>
            </w:r>
            <w:r w:rsidR="00C61225">
              <w:rPr>
                <w:rFonts w:cs="Arial"/>
                <w:color w:val="002060"/>
              </w:rPr>
              <w:t>awareness of principles to follow in preparing tables and figures.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C61225">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w:t>
            </w:r>
            <w:r w:rsidR="00C61225">
              <w:rPr>
                <w:rFonts w:cs="Arial"/>
                <w:color w:val="002060"/>
              </w:rPr>
              <w:t xml:space="preserve">(1) </w:t>
            </w:r>
            <w:r w:rsidR="00361DE5">
              <w:rPr>
                <w:rFonts w:cs="Arial"/>
                <w:color w:val="002060"/>
              </w:rPr>
              <w:t xml:space="preserve">state </w:t>
            </w:r>
            <w:r w:rsidR="00C61225">
              <w:rPr>
                <w:rFonts w:cs="Arial"/>
                <w:color w:val="002060"/>
              </w:rPr>
              <w:t>principles to follow in preparing tables and figures</w:t>
            </w:r>
            <w:r w:rsidR="00361DE5">
              <w:rPr>
                <w:rFonts w:cs="Arial"/>
                <w:color w:val="002060"/>
              </w:rPr>
              <w:t xml:space="preserve"> and</w:t>
            </w:r>
            <w:r w:rsidR="00C61FBB">
              <w:rPr>
                <w:rFonts w:cs="Arial"/>
                <w:color w:val="002060"/>
              </w:rPr>
              <w:t xml:space="preserve"> (2) </w:t>
            </w:r>
            <w:r w:rsidR="00C61225">
              <w:rPr>
                <w:rFonts w:cs="Arial"/>
                <w:color w:val="002060"/>
              </w:rPr>
              <w:t>know how to find further information on the topic.</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 xml:space="preserve">Participant </w:t>
            </w:r>
            <w:r w:rsidRPr="007E27E0">
              <w:rPr>
                <w:rFonts w:cs="Arial"/>
                <w:color w:val="002060"/>
              </w:rPr>
              <w:lastRenderedPageBreak/>
              <w:t>Profile</w:t>
            </w:r>
          </w:p>
        </w:tc>
        <w:tc>
          <w:tcPr>
            <w:tcW w:w="7458" w:type="dxa"/>
          </w:tcPr>
          <w:p w:rsidR="002A037A" w:rsidRPr="007E27E0" w:rsidRDefault="002A037A" w:rsidP="00C61FBB">
            <w:pPr>
              <w:rPr>
                <w:rFonts w:cs="Arial"/>
                <w:color w:val="002060"/>
              </w:rPr>
            </w:pPr>
            <w:r w:rsidRPr="007E27E0">
              <w:rPr>
                <w:rFonts w:cs="Arial"/>
                <w:color w:val="002060"/>
              </w:rPr>
              <w:lastRenderedPageBreak/>
              <w:t xml:space="preserve">This module is primarily for early-career researchers who are starting to publish </w:t>
            </w:r>
            <w:r w:rsidRPr="007E27E0">
              <w:rPr>
                <w:rFonts w:cs="Arial"/>
                <w:color w:val="002060"/>
              </w:rPr>
              <w:lastRenderedPageBreak/>
              <w:t xml:space="preserve">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2338EF">
            <w:pPr>
              <w:rPr>
                <w:rFonts w:cs="Arial"/>
                <w:color w:val="002060"/>
              </w:rPr>
            </w:pPr>
            <w:r>
              <w:rPr>
                <w:rFonts w:cs="Arial"/>
                <w:color w:val="002060"/>
              </w:rPr>
              <w:t>(</w:t>
            </w:r>
            <w:r w:rsidR="004D24C1">
              <w:rPr>
                <w:rFonts w:cs="Arial"/>
                <w:color w:val="002060"/>
              </w:rPr>
              <w:t>3</w:t>
            </w:r>
            <w:r>
              <w:rPr>
                <w:rFonts w:cs="Arial"/>
                <w:color w:val="002060"/>
              </w:rPr>
              <w:t xml:space="preserve">) If </w:t>
            </w:r>
            <w:r w:rsidR="00974C03">
              <w:rPr>
                <w:rFonts w:cs="Arial"/>
                <w:color w:val="002060"/>
              </w:rPr>
              <w:t xml:space="preserve">the </w:t>
            </w:r>
            <w:r>
              <w:rPr>
                <w:rFonts w:cs="Arial"/>
                <w:color w:val="002060"/>
              </w:rPr>
              <w:t xml:space="preserve">participants </w:t>
            </w:r>
            <w:r w:rsidR="002338EF">
              <w:rPr>
                <w:rFonts w:cs="Arial"/>
                <w:color w:val="002060"/>
              </w:rPr>
              <w:t>have drafted</w:t>
            </w:r>
            <w:r>
              <w:rPr>
                <w:rFonts w:cs="Arial"/>
                <w:color w:val="002060"/>
              </w:rPr>
              <w:t xml:space="preserve">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6B37F7">
              <w:rPr>
                <w:rFonts w:cs="Arial"/>
                <w:color w:val="002060"/>
              </w:rPr>
              <w:t>1</w:t>
            </w:r>
            <w:r w:rsidR="00C61225">
              <w:rPr>
                <w:rFonts w:cs="Arial"/>
                <w:color w:val="002060"/>
              </w:rPr>
              <w:t>4</w:t>
            </w:r>
            <w:r w:rsidR="006B37F7">
              <w:rPr>
                <w:rFonts w:cs="Arial"/>
                <w:color w:val="002060"/>
              </w:rPr>
              <w:t>_</w:t>
            </w:r>
            <w:r w:rsidR="00C61225">
              <w:rPr>
                <w:rFonts w:cs="Arial"/>
                <w:color w:val="002060"/>
              </w:rPr>
              <w:t>Preparing Tables and Figures</w:t>
            </w:r>
          </w:p>
          <w:p w:rsidR="006B37F7" w:rsidRPr="007E27E0" w:rsidRDefault="001569EE" w:rsidP="00B86CBE">
            <w:pPr>
              <w:rPr>
                <w:rFonts w:cs="Arial"/>
                <w:color w:val="002060"/>
              </w:rPr>
            </w:pPr>
            <w:r>
              <w:rPr>
                <w:rFonts w:cs="Arial"/>
                <w:color w:val="002060"/>
              </w:rPr>
              <w:t xml:space="preserve">Examples of </w:t>
            </w:r>
            <w:r w:rsidR="00C61225">
              <w:rPr>
                <w:rFonts w:cs="Arial"/>
                <w:color w:val="002060"/>
              </w:rPr>
              <w:t>Tables and Figures</w:t>
            </w:r>
            <w:r>
              <w:rPr>
                <w:rFonts w:cs="Arial"/>
                <w:color w:val="002060"/>
              </w:rPr>
              <w:t xml:space="preserve">: </w:t>
            </w:r>
            <w:r w:rsidR="002338EF">
              <w:rPr>
                <w:rFonts w:cs="Arial"/>
                <w:color w:val="002060"/>
              </w:rPr>
              <w:t>If possible, t</w:t>
            </w:r>
            <w:r w:rsidR="006B37F7">
              <w:rPr>
                <w:rFonts w:cs="Arial"/>
                <w:color w:val="002060"/>
              </w:rPr>
              <w:t xml:space="preserve">he facilitator should </w:t>
            </w:r>
            <w:r w:rsidR="00C61225">
              <w:rPr>
                <w:rFonts w:cs="Arial"/>
                <w:color w:val="002060"/>
              </w:rPr>
              <w:t>bring some examples of tables and figures</w:t>
            </w:r>
            <w:r w:rsidR="006B37F7">
              <w:rPr>
                <w:rFonts w:cs="Arial"/>
                <w:color w:val="002060"/>
              </w:rPr>
              <w:t>. Ideally, the</w:t>
            </w:r>
            <w:r w:rsidR="00C61225">
              <w:rPr>
                <w:rFonts w:cs="Arial"/>
                <w:color w:val="002060"/>
              </w:rPr>
              <w:t>y</w:t>
            </w:r>
            <w:r w:rsidR="006B37F7">
              <w:rPr>
                <w:rFonts w:cs="Arial"/>
                <w:color w:val="002060"/>
              </w:rPr>
              <w:t xml:space="preserve"> should be from journals in research fields from which some of the participants come.</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2338EF" w:rsidRPr="007E27E0" w:rsidRDefault="002338EF" w:rsidP="008C7C8D">
            <w:pPr>
              <w:rPr>
                <w:rFonts w:cs="Arial"/>
                <w:color w:val="002060"/>
              </w:rPr>
            </w:pPr>
            <w:r>
              <w:rPr>
                <w:rFonts w:cs="Arial"/>
                <w:color w:val="002060"/>
              </w:rPr>
              <w:t xml:space="preserve">The facilitator may add slides showing </w:t>
            </w:r>
            <w:r w:rsidR="008C7C8D">
              <w:rPr>
                <w:rFonts w:cs="Arial"/>
                <w:color w:val="002060"/>
              </w:rPr>
              <w:t>examples of tables and figures</w:t>
            </w:r>
            <w:r>
              <w:rPr>
                <w:rFonts w:cs="Arial"/>
                <w:color w:val="002060"/>
              </w:rPr>
              <w:t>. Another option is to l</w:t>
            </w:r>
            <w:r w:rsidR="008C7C8D">
              <w:rPr>
                <w:rFonts w:cs="Arial"/>
                <w:color w:val="002060"/>
              </w:rPr>
              <w:t>ink to tables or figures or to journal articles containing them.</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w:t>
            </w:r>
            <w:r w:rsidR="00974C03">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B86CBE">
              <w:rPr>
                <w:color w:val="002060"/>
              </w:rPr>
              <w:t>Why include tables and figures?</w:t>
            </w:r>
            <w:r w:rsidRPr="007E27E0">
              <w:rPr>
                <w:color w:val="002060"/>
              </w:rPr>
              <w:t>”)</w:t>
            </w:r>
          </w:p>
          <w:p w:rsidR="00974C03" w:rsidRDefault="00B86CBE" w:rsidP="00974C03">
            <w:pPr>
              <w:pStyle w:val="ListParagraph"/>
              <w:framePr w:hSpace="0" w:wrap="auto" w:vAnchor="margin" w:hAnchor="text" w:yAlign="inline"/>
              <w:numPr>
                <w:ilvl w:val="1"/>
                <w:numId w:val="4"/>
              </w:numPr>
              <w:rPr>
                <w:color w:val="002060"/>
              </w:rPr>
            </w:pPr>
            <w:r>
              <w:rPr>
                <w:color w:val="002060"/>
              </w:rPr>
              <w:t>Have groups of two or three students discuss this question.</w:t>
            </w:r>
          </w:p>
          <w:p w:rsidR="00B86CBE" w:rsidRDefault="00B86CBE" w:rsidP="00974C03">
            <w:pPr>
              <w:pStyle w:val="ListParagraph"/>
              <w:framePr w:hSpace="0" w:wrap="auto" w:vAnchor="margin" w:hAnchor="text" w:yAlign="inline"/>
              <w:numPr>
                <w:ilvl w:val="1"/>
                <w:numId w:val="4"/>
              </w:numPr>
              <w:rPr>
                <w:color w:val="002060"/>
              </w:rPr>
            </w:pPr>
            <w:r>
              <w:rPr>
                <w:color w:val="002060"/>
              </w:rPr>
              <w:t>Then bring the full group together and elicit responses. Points should include the following: Tables and figures can serve as evidence to support the findings</w:t>
            </w:r>
            <w:r w:rsidR="00B34C6E">
              <w:rPr>
                <w:color w:val="002060"/>
              </w:rPr>
              <w:t xml:space="preserve"> being presented</w:t>
            </w:r>
            <w:r>
              <w:rPr>
                <w:color w:val="002060"/>
              </w:rPr>
              <w:t>. They also can help readers to understand the paper.</w:t>
            </w:r>
          </w:p>
          <w:p w:rsidR="00B34C6E" w:rsidRPr="00B34C6E" w:rsidRDefault="00B86CBE" w:rsidP="00B34C6E">
            <w:pPr>
              <w:pStyle w:val="ListParagraph"/>
              <w:framePr w:hSpace="0" w:wrap="auto" w:vAnchor="margin" w:hAnchor="text" w:yAlign="inline"/>
              <w:numPr>
                <w:ilvl w:val="1"/>
                <w:numId w:val="4"/>
              </w:numPr>
              <w:rPr>
                <w:color w:val="002060"/>
              </w:rPr>
            </w:pPr>
            <w:r w:rsidRPr="00B34C6E">
              <w:rPr>
                <w:color w:val="002060"/>
              </w:rPr>
              <w:t xml:space="preserve">Identify, or ask the group to identify, implications of these </w:t>
            </w:r>
            <w:r w:rsidRPr="00B34C6E">
              <w:rPr>
                <w:color w:val="002060"/>
              </w:rPr>
              <w:lastRenderedPageBreak/>
              <w:t>purposes. One implication is that the evidence being presented should be clear from the table or figure.  Another implication is that figures and tables should be designed in ways that make it easy for reader</w:t>
            </w:r>
            <w:r w:rsidR="00B34C6E" w:rsidRPr="00B34C6E">
              <w:rPr>
                <w:color w:val="002060"/>
              </w:rPr>
              <w:t>s to grasp the point being made.</w:t>
            </w:r>
          </w:p>
          <w:p w:rsidR="00DB749F" w:rsidRDefault="003E14A9" w:rsidP="00DB749F">
            <w:pPr>
              <w:pStyle w:val="ListParagraph"/>
              <w:framePr w:hSpace="0" w:wrap="auto" w:vAnchor="margin" w:hAnchor="text" w:yAlign="inline"/>
              <w:rPr>
                <w:color w:val="002060"/>
              </w:rPr>
            </w:pPr>
            <w:r w:rsidRPr="007E27E0">
              <w:rPr>
                <w:color w:val="002060"/>
              </w:rPr>
              <w:t>Slide 4 (“</w:t>
            </w:r>
            <w:r w:rsidR="00B34C6E">
              <w:rPr>
                <w:color w:val="002060"/>
              </w:rPr>
              <w:t>Tables: A Few Suggestions</w:t>
            </w:r>
            <w:r w:rsidRPr="007E27E0">
              <w:rPr>
                <w:color w:val="002060"/>
              </w:rPr>
              <w:t>”)</w:t>
            </w:r>
          </w:p>
          <w:p w:rsidR="00B87815" w:rsidRDefault="00B34C6E" w:rsidP="00B87815">
            <w:pPr>
              <w:pStyle w:val="ListParagraph"/>
              <w:framePr w:hSpace="0" w:wrap="auto" w:vAnchor="margin" w:hAnchor="text" w:yAlign="inline"/>
              <w:numPr>
                <w:ilvl w:val="1"/>
                <w:numId w:val="4"/>
              </w:numPr>
              <w:rPr>
                <w:color w:val="002060"/>
              </w:rPr>
            </w:pPr>
            <w:r>
              <w:rPr>
                <w:color w:val="002060"/>
              </w:rPr>
              <w:t xml:space="preserve">Note that tables should be included only if they have a purpose, such as one </w:t>
            </w:r>
            <w:r w:rsidR="00563FEE">
              <w:rPr>
                <w:color w:val="002060"/>
              </w:rPr>
              <w:t xml:space="preserve">of those </w:t>
            </w:r>
            <w:r>
              <w:rPr>
                <w:color w:val="002060"/>
              </w:rPr>
              <w:t>just noted. Journals’ space and readers’ time are limited</w:t>
            </w:r>
            <w:r w:rsidR="00563FEE">
              <w:rPr>
                <w:color w:val="002060"/>
              </w:rPr>
              <w:t xml:space="preserve"> and should not be wasted on needless tables</w:t>
            </w:r>
            <w:r>
              <w:rPr>
                <w:color w:val="002060"/>
              </w:rPr>
              <w:t>.</w:t>
            </w:r>
          </w:p>
          <w:p w:rsidR="00B34C6E" w:rsidRDefault="00B34C6E" w:rsidP="00B87815">
            <w:pPr>
              <w:pStyle w:val="ListParagraph"/>
              <w:framePr w:hSpace="0" w:wrap="auto" w:vAnchor="margin" w:hAnchor="text" w:yAlign="inline"/>
              <w:numPr>
                <w:ilvl w:val="1"/>
                <w:numId w:val="4"/>
              </w:numPr>
              <w:rPr>
                <w:color w:val="002060"/>
              </w:rPr>
            </w:pPr>
            <w:r>
              <w:rPr>
                <w:color w:val="002060"/>
              </w:rPr>
              <w:t xml:space="preserve">Emphasize that readers should be able to understand </w:t>
            </w:r>
            <w:r w:rsidR="00563FEE">
              <w:rPr>
                <w:color w:val="002060"/>
              </w:rPr>
              <w:t>each</w:t>
            </w:r>
            <w:r>
              <w:rPr>
                <w:color w:val="002060"/>
              </w:rPr>
              <w:t xml:space="preserve"> table without re</w:t>
            </w:r>
            <w:r w:rsidR="00563FEE">
              <w:rPr>
                <w:color w:val="002060"/>
              </w:rPr>
              <w:t>ading</w:t>
            </w:r>
            <w:r>
              <w:rPr>
                <w:color w:val="002060"/>
              </w:rPr>
              <w:t xml:space="preserve"> the main text of the article. Thus, for example, </w:t>
            </w:r>
            <w:r w:rsidR="00563FEE">
              <w:rPr>
                <w:color w:val="002060"/>
              </w:rPr>
              <w:t xml:space="preserve">a table should not </w:t>
            </w:r>
            <w:r>
              <w:rPr>
                <w:color w:val="002060"/>
              </w:rPr>
              <w:t xml:space="preserve">refer to groups just as “Group 1” and “Group 2”; rather, </w:t>
            </w:r>
            <w:r w:rsidR="00B761E8">
              <w:rPr>
                <w:color w:val="002060"/>
              </w:rPr>
              <w:t xml:space="preserve">descriptive </w:t>
            </w:r>
            <w:r w:rsidR="00563FEE">
              <w:rPr>
                <w:color w:val="002060"/>
              </w:rPr>
              <w:t xml:space="preserve">designations </w:t>
            </w:r>
            <w:r>
              <w:rPr>
                <w:color w:val="002060"/>
              </w:rPr>
              <w:t>such as “Workshop Participants” and “Control Group”</w:t>
            </w:r>
            <w:r w:rsidR="00563FEE">
              <w:rPr>
                <w:color w:val="002060"/>
              </w:rPr>
              <w:t xml:space="preserve"> should be used</w:t>
            </w:r>
            <w:r>
              <w:rPr>
                <w:color w:val="002060"/>
              </w:rPr>
              <w:t>. Likewise, each table should have an informative title</w:t>
            </w:r>
            <w:r w:rsidR="00563FEE">
              <w:rPr>
                <w:color w:val="002060"/>
              </w:rPr>
              <w:t>, and definitions should be provided for abbreviations that readers might not know.</w:t>
            </w:r>
          </w:p>
          <w:p w:rsidR="00563FEE" w:rsidRDefault="00563FEE" w:rsidP="00B87815">
            <w:pPr>
              <w:pStyle w:val="ListParagraph"/>
              <w:framePr w:hSpace="0" w:wrap="auto" w:vAnchor="margin" w:hAnchor="text" w:yAlign="inline"/>
              <w:numPr>
                <w:ilvl w:val="1"/>
                <w:numId w:val="4"/>
              </w:numPr>
              <w:rPr>
                <w:color w:val="002060"/>
              </w:rPr>
            </w:pPr>
            <w:r>
              <w:rPr>
                <w:color w:val="002060"/>
              </w:rPr>
              <w:t xml:space="preserve">Note that many journals’ instructions to authors </w:t>
            </w:r>
            <w:r w:rsidR="00B761E8">
              <w:rPr>
                <w:color w:val="002060"/>
              </w:rPr>
              <w:t>include</w:t>
            </w:r>
            <w:r>
              <w:rPr>
                <w:color w:val="002060"/>
              </w:rPr>
              <w:t xml:space="preserve"> specific instructions for preparing tables. Following these instructions from the start can facilitate writing and publishing a paper.</w:t>
            </w:r>
          </w:p>
          <w:p w:rsidR="00DF7164" w:rsidRDefault="00DF7164" w:rsidP="00B87815">
            <w:pPr>
              <w:pStyle w:val="ListParagraph"/>
              <w:framePr w:hSpace="0" w:wrap="auto" w:vAnchor="margin" w:hAnchor="text" w:yAlign="inline"/>
              <w:numPr>
                <w:ilvl w:val="1"/>
                <w:numId w:val="4"/>
              </w:numPr>
              <w:rPr>
                <w:color w:val="002060"/>
              </w:rPr>
            </w:pPr>
            <w:r>
              <w:rPr>
                <w:color w:val="002060"/>
              </w:rPr>
              <w:t xml:space="preserve">Now is a good time to show some examples of tables from journal articles and have the group discuss them. Aspects to address may include what the purpose of the table seems to be, the extent to which the table </w:t>
            </w:r>
            <w:r w:rsidR="00B761E8">
              <w:rPr>
                <w:color w:val="002060"/>
              </w:rPr>
              <w:t>seems to follow the suggestions given, and other perceived strengths and limitations of the table.</w:t>
            </w:r>
          </w:p>
          <w:p w:rsidR="00FD1FB6" w:rsidRDefault="00FD1FB6" w:rsidP="00FD1FB6">
            <w:pPr>
              <w:pStyle w:val="ListParagraph"/>
              <w:framePr w:hSpace="0" w:wrap="auto" w:vAnchor="margin" w:hAnchor="text" w:yAlign="inline"/>
              <w:rPr>
                <w:color w:val="002060"/>
              </w:rPr>
            </w:pPr>
            <w:r>
              <w:rPr>
                <w:color w:val="002060"/>
              </w:rPr>
              <w:t>Slide 5 (“</w:t>
            </w:r>
            <w:r w:rsidR="00B810D7">
              <w:rPr>
                <w:color w:val="002060"/>
              </w:rPr>
              <w:t>Figures: A Few Suggestions</w:t>
            </w:r>
            <w:r>
              <w:rPr>
                <w:color w:val="002060"/>
              </w:rPr>
              <w:t>”)</w:t>
            </w:r>
          </w:p>
          <w:p w:rsidR="00B810D7" w:rsidRDefault="00B810D7" w:rsidP="00B810D7">
            <w:pPr>
              <w:pStyle w:val="ListParagraph"/>
              <w:framePr w:hSpace="0" w:wrap="auto" w:vAnchor="margin" w:hAnchor="text" w:yAlign="inline"/>
              <w:numPr>
                <w:ilvl w:val="1"/>
                <w:numId w:val="4"/>
              </w:numPr>
              <w:rPr>
                <w:color w:val="002060"/>
              </w:rPr>
            </w:pPr>
            <w:r>
              <w:rPr>
                <w:color w:val="002060"/>
              </w:rPr>
              <w:t>Ask participants what types of figures, if any, tend to be used in their fields. Perhaps ask about those listed as examples in the first bulleted item and then have participants identify additional types of figures used.</w:t>
            </w:r>
          </w:p>
          <w:p w:rsidR="00B810D7" w:rsidRDefault="00B810D7" w:rsidP="00B810D7">
            <w:pPr>
              <w:pStyle w:val="ListParagraph"/>
              <w:framePr w:hSpace="0" w:wrap="auto" w:vAnchor="margin" w:hAnchor="text" w:yAlign="inline"/>
              <w:numPr>
                <w:ilvl w:val="1"/>
                <w:numId w:val="4"/>
              </w:numPr>
              <w:rPr>
                <w:color w:val="002060"/>
              </w:rPr>
            </w:pPr>
            <w:r>
              <w:rPr>
                <w:color w:val="002060"/>
              </w:rPr>
              <w:t xml:space="preserve">Emphasize that figures, like tables, should be included </w:t>
            </w:r>
            <w:r w:rsidR="00F07DA6">
              <w:rPr>
                <w:color w:val="002060"/>
              </w:rPr>
              <w:t xml:space="preserve">in journal articles </w:t>
            </w:r>
            <w:r>
              <w:rPr>
                <w:color w:val="002060"/>
              </w:rPr>
              <w:t>only if they serve specific purpose</w:t>
            </w:r>
            <w:r w:rsidR="00F07DA6">
              <w:rPr>
                <w:color w:val="002060"/>
              </w:rPr>
              <w:t>s</w:t>
            </w:r>
            <w:r>
              <w:rPr>
                <w:color w:val="002060"/>
              </w:rPr>
              <w:t>. They should not be included just to be decorative.</w:t>
            </w:r>
          </w:p>
          <w:p w:rsidR="00B810D7" w:rsidRDefault="00B810D7" w:rsidP="00B810D7">
            <w:pPr>
              <w:pStyle w:val="ListParagraph"/>
              <w:framePr w:hSpace="0" w:wrap="auto" w:vAnchor="margin" w:hAnchor="text" w:yAlign="inline"/>
              <w:numPr>
                <w:ilvl w:val="1"/>
                <w:numId w:val="4"/>
              </w:numPr>
              <w:rPr>
                <w:color w:val="002060"/>
              </w:rPr>
            </w:pPr>
            <w:r>
              <w:rPr>
                <w:color w:val="002060"/>
              </w:rPr>
              <w:t>Note that clutter in figures is a common problem. Encourage participants to keep figures as simple as possible while still conveying the desired information.</w:t>
            </w:r>
          </w:p>
          <w:p w:rsidR="00085616" w:rsidRDefault="00B810D7" w:rsidP="00B810D7">
            <w:pPr>
              <w:pStyle w:val="ListParagraph"/>
              <w:framePr w:hSpace="0" w:wrap="auto" w:vAnchor="margin" w:hAnchor="text" w:yAlign="inline"/>
              <w:numPr>
                <w:ilvl w:val="1"/>
                <w:numId w:val="4"/>
              </w:numPr>
              <w:rPr>
                <w:color w:val="002060"/>
              </w:rPr>
            </w:pPr>
            <w:r>
              <w:rPr>
                <w:color w:val="002060"/>
              </w:rPr>
              <w:t>Mention that lettering that is clear when figures are prepared in large formats sometimes become</w:t>
            </w:r>
            <w:r w:rsidR="00BE6E5A">
              <w:rPr>
                <w:color w:val="002060"/>
              </w:rPr>
              <w:t>s</w:t>
            </w:r>
            <w:r>
              <w:rPr>
                <w:color w:val="002060"/>
              </w:rPr>
              <w:t xml:space="preserve"> too small to read when figures are reduced in size for journal publication. </w:t>
            </w:r>
            <w:r w:rsidR="00085616">
              <w:rPr>
                <w:color w:val="002060"/>
              </w:rPr>
              <w:t xml:space="preserve">Suggest that participants do the following: On a computer monitor, reduce each figure to </w:t>
            </w:r>
            <w:r w:rsidR="00BE6E5A">
              <w:rPr>
                <w:color w:val="002060"/>
              </w:rPr>
              <w:t>its probable</w:t>
            </w:r>
            <w:r w:rsidR="00085616">
              <w:rPr>
                <w:color w:val="002060"/>
              </w:rPr>
              <w:t xml:space="preserve"> size in the journal. If anything in the figure is then too small to read, revise the figure to make it readable.</w:t>
            </w:r>
          </w:p>
          <w:p w:rsidR="00B810D7" w:rsidRPr="00085616" w:rsidRDefault="00085616" w:rsidP="00B810D7">
            <w:pPr>
              <w:pStyle w:val="ListParagraph"/>
              <w:framePr w:hSpace="0" w:wrap="auto" w:vAnchor="margin" w:hAnchor="text" w:yAlign="inline"/>
              <w:numPr>
                <w:ilvl w:val="1"/>
                <w:numId w:val="4"/>
              </w:numPr>
              <w:rPr>
                <w:color w:val="002060"/>
              </w:rPr>
            </w:pPr>
            <w:r w:rsidRPr="00085616">
              <w:rPr>
                <w:color w:val="002060"/>
              </w:rPr>
              <w:t xml:space="preserve">Emphasize that </w:t>
            </w:r>
            <w:r w:rsidR="00BE6E5A">
              <w:rPr>
                <w:color w:val="002060"/>
              </w:rPr>
              <w:t>many</w:t>
            </w:r>
            <w:r w:rsidRPr="00085616">
              <w:rPr>
                <w:color w:val="002060"/>
              </w:rPr>
              <w:t xml:space="preserve"> journals have very specific requirements regarding the design and electronic format of figures. Urge participants to follow their journals’ instructions to authors carefully in this regard.</w:t>
            </w:r>
            <w:r w:rsidR="00B810D7" w:rsidRPr="00085616">
              <w:rPr>
                <w:color w:val="002060"/>
              </w:rPr>
              <w:t xml:space="preserve"> </w:t>
            </w:r>
          </w:p>
          <w:p w:rsidR="00085616" w:rsidRPr="00085616" w:rsidRDefault="00085616" w:rsidP="00085616">
            <w:pPr>
              <w:numPr>
                <w:ilvl w:val="1"/>
                <w:numId w:val="4"/>
              </w:numPr>
              <w:spacing w:after="0"/>
              <w:rPr>
                <w:color w:val="002060"/>
              </w:rPr>
            </w:pPr>
            <w:r w:rsidRPr="00085616">
              <w:rPr>
                <w:color w:val="002060"/>
              </w:rPr>
              <w:t xml:space="preserve">Now is a good time to show some examples of </w:t>
            </w:r>
            <w:r>
              <w:rPr>
                <w:color w:val="002060"/>
              </w:rPr>
              <w:t>figures</w:t>
            </w:r>
            <w:r w:rsidRPr="00085616">
              <w:rPr>
                <w:color w:val="002060"/>
              </w:rPr>
              <w:t xml:space="preserve"> from journal articles and have the group discuss them. Aspects to address may include what the purpose of the </w:t>
            </w:r>
            <w:r>
              <w:rPr>
                <w:color w:val="002060"/>
              </w:rPr>
              <w:t>figure</w:t>
            </w:r>
            <w:r w:rsidRPr="00085616">
              <w:rPr>
                <w:color w:val="002060"/>
              </w:rPr>
              <w:t xml:space="preserve"> seems to be, the extent to which the </w:t>
            </w:r>
            <w:r>
              <w:rPr>
                <w:color w:val="002060"/>
              </w:rPr>
              <w:t>figure</w:t>
            </w:r>
            <w:r w:rsidRPr="00085616">
              <w:rPr>
                <w:color w:val="002060"/>
              </w:rPr>
              <w:t xml:space="preserve"> seems to follow the suggestions given, and other perceived strengths and limitations of the </w:t>
            </w:r>
            <w:r>
              <w:rPr>
                <w:color w:val="002060"/>
              </w:rPr>
              <w:t>figure</w:t>
            </w:r>
            <w:r w:rsidRPr="00085616">
              <w:rPr>
                <w:color w:val="002060"/>
              </w:rPr>
              <w:t>.</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BE6E5A">
              <w:rPr>
                <w:color w:val="002060"/>
              </w:rPr>
              <w:t>Discussion Question</w:t>
            </w:r>
            <w:r w:rsidRPr="007E27E0">
              <w:rPr>
                <w:color w:val="002060"/>
              </w:rPr>
              <w:t>”)</w:t>
            </w:r>
          </w:p>
          <w:p w:rsidR="008F5A43" w:rsidRDefault="00BE6E5A" w:rsidP="00BE6E5A">
            <w:pPr>
              <w:pStyle w:val="ListParagraph"/>
              <w:framePr w:hSpace="0" w:wrap="auto" w:vAnchor="margin" w:hAnchor="text" w:yAlign="inline"/>
              <w:numPr>
                <w:ilvl w:val="1"/>
                <w:numId w:val="4"/>
              </w:numPr>
              <w:rPr>
                <w:color w:val="002060"/>
              </w:rPr>
            </w:pPr>
            <w:r>
              <w:rPr>
                <w:color w:val="002060"/>
              </w:rPr>
              <w:t>The “pyramid technique” can work well for discussion of this question. In this technique, participants discuss the question in pairs; then two pairs join together for further discussion; and, if desired, two groups of four then combine for additional discussion. Finally, the full group discusses the question.</w:t>
            </w:r>
          </w:p>
          <w:p w:rsidR="00BE6E5A" w:rsidRPr="004E2723" w:rsidRDefault="00BE6E5A" w:rsidP="00BE6E5A">
            <w:pPr>
              <w:pStyle w:val="ListParagraph"/>
              <w:framePr w:hSpace="0" w:wrap="auto" w:vAnchor="margin" w:hAnchor="text" w:yAlign="inline"/>
              <w:numPr>
                <w:ilvl w:val="1"/>
                <w:numId w:val="4"/>
              </w:numPr>
            </w:pPr>
            <w:r w:rsidRPr="00AC15AC">
              <w:rPr>
                <w:color w:val="002060"/>
              </w:rPr>
              <w:t xml:space="preserve">Major points to take away from this discussion are the following: If specific data (such as numbers) are important to present, a table tends to be more suitable. However, if “the shape of the data” </w:t>
            </w:r>
            <w:r w:rsidR="00A62288" w:rsidRPr="00AC15AC">
              <w:rPr>
                <w:color w:val="002060"/>
              </w:rPr>
              <w:t xml:space="preserve">is </w:t>
            </w:r>
            <w:r w:rsidR="00AC15AC" w:rsidRPr="00AC15AC">
              <w:rPr>
                <w:color w:val="002060"/>
              </w:rPr>
              <w:t>the main</w:t>
            </w:r>
            <w:r w:rsidRPr="00AC15AC">
              <w:rPr>
                <w:color w:val="002060"/>
              </w:rPr>
              <w:t xml:space="preserve"> message (for example, if points fall on an S-shaped curve), a figure</w:t>
            </w:r>
            <w:r w:rsidR="00A62288" w:rsidRPr="00AC15AC">
              <w:rPr>
                <w:color w:val="002060"/>
              </w:rPr>
              <w:t xml:space="preserve"> is preferable. Rarely is it worthwhile</w:t>
            </w:r>
            <w:r w:rsidRPr="00AC15AC">
              <w:rPr>
                <w:color w:val="002060"/>
              </w:rPr>
              <w:t xml:space="preserve"> to </w:t>
            </w:r>
            <w:r w:rsidRPr="00AC15AC">
              <w:rPr>
                <w:color w:val="002060"/>
              </w:rPr>
              <w:lastRenderedPageBreak/>
              <w:t xml:space="preserve">present the same data in both </w:t>
            </w:r>
            <w:r w:rsidR="00A62288" w:rsidRPr="00AC15AC">
              <w:rPr>
                <w:color w:val="002060"/>
              </w:rPr>
              <w:t xml:space="preserve">a </w:t>
            </w:r>
            <w:r w:rsidRPr="00AC15AC">
              <w:rPr>
                <w:color w:val="002060"/>
              </w:rPr>
              <w:t>table and a figure.</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AC15AC">
              <w:rPr>
                <w:color w:val="002060"/>
              </w:rPr>
              <w:t>A General Suggestion</w:t>
            </w:r>
            <w:r w:rsidRPr="007E27E0">
              <w:rPr>
                <w:color w:val="002060"/>
              </w:rPr>
              <w:t>”)</w:t>
            </w:r>
          </w:p>
          <w:p w:rsidR="00AC15AC" w:rsidRDefault="002809B6" w:rsidP="00AC15AC">
            <w:pPr>
              <w:pStyle w:val="ListParagraph"/>
              <w:framePr w:hSpace="0" w:wrap="auto" w:vAnchor="margin" w:hAnchor="text" w:yAlign="inline"/>
              <w:numPr>
                <w:ilvl w:val="1"/>
                <w:numId w:val="4"/>
              </w:numPr>
              <w:rPr>
                <w:color w:val="002060"/>
              </w:rPr>
            </w:pPr>
            <w:r>
              <w:rPr>
                <w:color w:val="002060"/>
              </w:rPr>
              <w:t>Both</w:t>
            </w:r>
            <w:r w:rsidR="00113008">
              <w:rPr>
                <w:color w:val="002060"/>
              </w:rPr>
              <w:t xml:space="preserve"> because types of tables and figures differ somewhat among disciplines</w:t>
            </w:r>
            <w:r>
              <w:rPr>
                <w:color w:val="002060"/>
              </w:rPr>
              <w:t xml:space="preserve"> and because of time constraints, providing</w:t>
            </w:r>
            <w:r w:rsidR="00113008">
              <w:rPr>
                <w:color w:val="002060"/>
              </w:rPr>
              <w:t xml:space="preserve"> detailed advice on tables and figures</w:t>
            </w:r>
            <w:r>
              <w:rPr>
                <w:color w:val="002060"/>
              </w:rPr>
              <w:t xml:space="preserve"> is not feasible</w:t>
            </w:r>
            <w:r w:rsidR="00113008">
              <w:rPr>
                <w:color w:val="002060"/>
              </w:rPr>
              <w:t xml:space="preserve"> in a session such as this one. In part for this reason, encourage participants to use relevant published tables and figures as models.</w:t>
            </w:r>
          </w:p>
          <w:p w:rsidR="00113008" w:rsidRDefault="00113008" w:rsidP="00AC15AC">
            <w:pPr>
              <w:pStyle w:val="ListParagraph"/>
              <w:framePr w:hSpace="0" w:wrap="auto" w:vAnchor="margin" w:hAnchor="text" w:yAlign="inline"/>
              <w:numPr>
                <w:ilvl w:val="1"/>
                <w:numId w:val="4"/>
              </w:numPr>
              <w:rPr>
                <w:color w:val="002060"/>
              </w:rPr>
            </w:pPr>
            <w:r>
              <w:rPr>
                <w:color w:val="002060"/>
              </w:rPr>
              <w:t>If most or all of the participants are from the same field, now can be a good time to present some examples of well-designed tables and figures</w:t>
            </w:r>
            <w:r w:rsidR="002809B6">
              <w:rPr>
                <w:color w:val="002060"/>
              </w:rPr>
              <w:t xml:space="preserve"> of types common in</w:t>
            </w:r>
            <w:r>
              <w:rPr>
                <w:color w:val="002060"/>
              </w:rPr>
              <w:t xml:space="preserve"> that field </w:t>
            </w:r>
            <w:r w:rsidR="002809B6">
              <w:rPr>
                <w:color w:val="002060"/>
              </w:rPr>
              <w:t xml:space="preserve">that might serve as models </w:t>
            </w:r>
            <w:r>
              <w:rPr>
                <w:color w:val="002060"/>
              </w:rPr>
              <w:t>and to point out strengths (or, better yet, have participants do so).</w:t>
            </w:r>
          </w:p>
          <w:p w:rsidR="00521438" w:rsidRDefault="002A037A" w:rsidP="00B4770D">
            <w:pPr>
              <w:pStyle w:val="ListParagraph"/>
              <w:framePr w:hSpace="0" w:wrap="auto" w:vAnchor="margin" w:hAnchor="text" w:yAlign="inline"/>
              <w:rPr>
                <w:color w:val="002060"/>
              </w:rPr>
            </w:pPr>
            <w:r w:rsidRPr="00D60E4A">
              <w:rPr>
                <w:color w:val="002060"/>
              </w:rPr>
              <w:t xml:space="preserve">Slide </w:t>
            </w:r>
            <w:r w:rsidR="00A45ADC" w:rsidRPr="00D60E4A">
              <w:rPr>
                <w:color w:val="002060"/>
              </w:rPr>
              <w:t>8</w:t>
            </w:r>
            <w:r w:rsidRPr="00D60E4A">
              <w:rPr>
                <w:color w:val="002060"/>
              </w:rPr>
              <w:t xml:space="preserve"> (“</w:t>
            </w:r>
            <w:r w:rsidR="002809B6">
              <w:rPr>
                <w:color w:val="002060"/>
              </w:rPr>
              <w:t>Sources of Further Information</w:t>
            </w:r>
            <w:r w:rsidRPr="00D60E4A">
              <w:rPr>
                <w:color w:val="002060"/>
              </w:rPr>
              <w:t>”)</w:t>
            </w:r>
          </w:p>
          <w:p w:rsidR="002809B6" w:rsidRDefault="002809B6" w:rsidP="002809B6">
            <w:pPr>
              <w:pStyle w:val="ListParagraph"/>
              <w:framePr w:hSpace="0" w:wrap="auto" w:vAnchor="margin" w:hAnchor="text" w:yAlign="inline"/>
              <w:numPr>
                <w:ilvl w:val="1"/>
                <w:numId w:val="4"/>
              </w:numPr>
              <w:rPr>
                <w:color w:val="002060"/>
              </w:rPr>
            </w:pPr>
            <w:r>
              <w:rPr>
                <w:color w:val="002060"/>
              </w:rPr>
              <w:t>Note these openly available sources of guidance on tables and figures, and encourage participants to consult them.</w:t>
            </w:r>
          </w:p>
          <w:p w:rsidR="002809B6" w:rsidRPr="00D60E4A" w:rsidRDefault="002809B6" w:rsidP="002809B6">
            <w:pPr>
              <w:pStyle w:val="ListParagraph"/>
              <w:framePr w:hSpace="0" w:wrap="auto" w:vAnchor="margin" w:hAnchor="text" w:yAlign="inline"/>
              <w:numPr>
                <w:ilvl w:val="1"/>
                <w:numId w:val="4"/>
              </w:numPr>
              <w:rPr>
                <w:color w:val="002060"/>
              </w:rPr>
            </w:pPr>
            <w:r>
              <w:rPr>
                <w:color w:val="002060"/>
              </w:rPr>
              <w:t>See whether participants have comments on any of these resources or have any other resources on this topic to suggest.</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A45ADC">
              <w:rPr>
                <w:color w:val="002060"/>
              </w:rPr>
              <w:t>9</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38156B" w:rsidRPr="00903736" w:rsidRDefault="00D87446" w:rsidP="00132E50">
            <w:pPr>
              <w:pStyle w:val="ListParagraph"/>
              <w:framePr w:hSpace="0" w:wrap="auto" w:vAnchor="margin" w:hAnchor="text" w:yAlign="inline"/>
              <w:numPr>
                <w:ilvl w:val="1"/>
                <w:numId w:val="4"/>
              </w:numPr>
            </w:pPr>
            <w:r>
              <w:rPr>
                <w:color w:val="002060"/>
              </w:rPr>
              <w:t>Then bring the full group together for discussion.</w:t>
            </w:r>
          </w:p>
          <w:p w:rsidR="00870559" w:rsidRPr="00870559" w:rsidRDefault="00870559" w:rsidP="00870559">
            <w:pPr>
              <w:pStyle w:val="ListParagraph"/>
              <w:framePr w:hSpace="0" w:wrap="auto" w:vAnchor="margin" w:hAnchor="text" w:yAlign="inline"/>
            </w:pPr>
            <w:r>
              <w:rPr>
                <w:color w:val="002060"/>
              </w:rPr>
              <w:t>Slide 10 (“Another Exercise”)</w:t>
            </w:r>
          </w:p>
          <w:p w:rsidR="00870559" w:rsidRPr="008B7668" w:rsidRDefault="004F7EC7" w:rsidP="00870559">
            <w:pPr>
              <w:pStyle w:val="ListParagraph"/>
              <w:framePr w:hSpace="0" w:wrap="auto" w:vAnchor="margin" w:hAnchor="text" w:yAlign="inline"/>
              <w:numPr>
                <w:ilvl w:val="1"/>
                <w:numId w:val="4"/>
              </w:numPr>
            </w:pPr>
            <w:r>
              <w:rPr>
                <w:color w:val="002060"/>
              </w:rPr>
              <w:t xml:space="preserve">If most or all of the participants have brought </w:t>
            </w:r>
            <w:r w:rsidR="00CF15F5">
              <w:rPr>
                <w:color w:val="002060"/>
              </w:rPr>
              <w:t>some figures, tables, or both that they have drafted</w:t>
            </w:r>
            <w:r>
              <w:rPr>
                <w:color w:val="002060"/>
              </w:rPr>
              <w:t>, do this exercise.</w:t>
            </w:r>
            <w:r w:rsidR="008B7668">
              <w:rPr>
                <w:color w:val="002060"/>
              </w:rPr>
              <w:t xml:space="preserve"> </w:t>
            </w:r>
          </w:p>
          <w:p w:rsidR="004F7EC7" w:rsidRPr="00E17E62" w:rsidRDefault="004F7EC7" w:rsidP="00870559">
            <w:pPr>
              <w:pStyle w:val="ListParagraph"/>
              <w:framePr w:hSpace="0" w:wrap="auto" w:vAnchor="margin" w:hAnchor="text" w:yAlign="inline"/>
              <w:numPr>
                <w:ilvl w:val="1"/>
                <w:numId w:val="4"/>
              </w:numPr>
            </w:pPr>
            <w:r>
              <w:rPr>
                <w:color w:val="002060"/>
              </w:rPr>
              <w:t xml:space="preserve">Another option is to have participants draft </w:t>
            </w:r>
            <w:r w:rsidR="00CF15F5">
              <w:rPr>
                <w:color w:val="002060"/>
              </w:rPr>
              <w:t>some of their tables and figures</w:t>
            </w:r>
            <w:r>
              <w:rPr>
                <w:color w:val="002060"/>
              </w:rPr>
              <w:t xml:space="preserve"> after this module and then do this exercise at a later session.</w:t>
            </w:r>
          </w:p>
          <w:p w:rsidR="00E17E62" w:rsidRPr="004F7EC7" w:rsidRDefault="00E17E62" w:rsidP="00870559">
            <w:pPr>
              <w:pStyle w:val="ListParagraph"/>
              <w:framePr w:hSpace="0" w:wrap="auto" w:vAnchor="margin" w:hAnchor="text" w:yAlign="inline"/>
              <w:numPr>
                <w:ilvl w:val="1"/>
                <w:numId w:val="4"/>
              </w:numPr>
            </w:pPr>
            <w:r>
              <w:rPr>
                <w:color w:val="002060"/>
              </w:rPr>
              <w:t>This exercise is well suited for groups of about three or four members.</w:t>
            </w:r>
          </w:p>
          <w:p w:rsidR="004F7EC7" w:rsidRPr="007C3E59" w:rsidRDefault="008B7668" w:rsidP="00870559">
            <w:pPr>
              <w:pStyle w:val="ListParagraph"/>
              <w:framePr w:hSpace="0" w:wrap="auto" w:vAnchor="margin" w:hAnchor="text" w:yAlign="inline"/>
              <w:numPr>
                <w:ilvl w:val="1"/>
                <w:numId w:val="4"/>
              </w:numPr>
            </w:pPr>
            <w:r>
              <w:rPr>
                <w:color w:val="002060"/>
              </w:rPr>
              <w:t>I</w:t>
            </w:r>
            <w:r w:rsidR="00E17E62">
              <w:rPr>
                <w:color w:val="002060"/>
              </w:rPr>
              <w:t>f feasible,</w:t>
            </w:r>
            <w:r>
              <w:rPr>
                <w:color w:val="002060"/>
              </w:rPr>
              <w:t xml:space="preserve"> have the full group come together for discussion at the end of this exercise. One option is to </w:t>
            </w:r>
            <w:r w:rsidR="00E17E62">
              <w:rPr>
                <w:color w:val="002060"/>
              </w:rPr>
              <w:t>proceed as follows: (1) H</w:t>
            </w:r>
            <w:r>
              <w:rPr>
                <w:color w:val="002060"/>
              </w:rPr>
              <w:t xml:space="preserve">ave participants </w:t>
            </w:r>
            <w:proofErr w:type="gramStart"/>
            <w:r>
              <w:rPr>
                <w:color w:val="002060"/>
              </w:rPr>
              <w:t>note</w:t>
            </w:r>
            <w:proofErr w:type="gramEnd"/>
            <w:r>
              <w:rPr>
                <w:color w:val="002060"/>
              </w:rPr>
              <w:t xml:space="preserve"> some strengths that they observed in </w:t>
            </w:r>
            <w:r w:rsidR="00E17E62">
              <w:rPr>
                <w:color w:val="002060"/>
              </w:rPr>
              <w:t>other group members</w:t>
            </w:r>
            <w:r>
              <w:rPr>
                <w:color w:val="002060"/>
              </w:rPr>
              <w:t xml:space="preserve">’ </w:t>
            </w:r>
            <w:r w:rsidR="00CF15F5">
              <w:rPr>
                <w:color w:val="002060"/>
              </w:rPr>
              <w:t>figures and tables</w:t>
            </w:r>
            <w:r w:rsidR="00E17E62">
              <w:rPr>
                <w:color w:val="002060"/>
              </w:rPr>
              <w:t>. (2) Have</w:t>
            </w:r>
            <w:r>
              <w:rPr>
                <w:color w:val="002060"/>
              </w:rPr>
              <w:t xml:space="preserve"> participants wishing to do so identify some helpful </w:t>
            </w:r>
            <w:r w:rsidR="00E17E62">
              <w:rPr>
                <w:color w:val="002060"/>
              </w:rPr>
              <w:t>guidance</w:t>
            </w:r>
            <w:r>
              <w:rPr>
                <w:color w:val="002060"/>
              </w:rPr>
              <w:t xml:space="preserve"> that they received</w:t>
            </w:r>
            <w:r w:rsidR="00E17E62">
              <w:rPr>
                <w:color w:val="002060"/>
              </w:rPr>
              <w:t xml:space="preserve"> during the exercise</w:t>
            </w:r>
            <w:r>
              <w:rPr>
                <w:color w:val="002060"/>
              </w:rPr>
              <w:t>.</w:t>
            </w:r>
            <w:r w:rsidR="00E17E62">
              <w:rPr>
                <w:color w:val="002060"/>
              </w:rPr>
              <w:t xml:space="preserve">  (3) Answer any questions, either along the way or at the end.</w:t>
            </w:r>
          </w:p>
          <w:p w:rsidR="007C3E59" w:rsidRDefault="007C3E59" w:rsidP="0026063D">
            <w:pPr>
              <w:pStyle w:val="ListParagraph"/>
              <w:framePr w:hSpace="0" w:wrap="auto" w:vAnchor="margin" w:hAnchor="text" w:yAlign="inline"/>
              <w:numPr>
                <w:ilvl w:val="1"/>
                <w:numId w:val="4"/>
              </w:numPr>
            </w:pPr>
            <w:r>
              <w:rPr>
                <w:color w:val="002060"/>
              </w:rPr>
              <w:t xml:space="preserve">If this session will be the first one </w:t>
            </w:r>
            <w:r w:rsidR="00E17E62">
              <w:rPr>
                <w:color w:val="002060"/>
              </w:rPr>
              <w:t>in</w:t>
            </w:r>
            <w:r>
              <w:rPr>
                <w:color w:val="002060"/>
              </w:rPr>
              <w:t xml:space="preserve"> which participants provide feedback on each other’s </w:t>
            </w:r>
            <w:r w:rsidR="00CF15F5">
              <w:rPr>
                <w:color w:val="002060"/>
              </w:rPr>
              <w:t>work</w:t>
            </w:r>
            <w:r>
              <w:rPr>
                <w:color w:val="002060"/>
              </w:rPr>
              <w:t xml:space="preserve">, perhaps precede this exercise with some discussion of giving feedback. </w:t>
            </w:r>
            <w:r w:rsidR="0026063D">
              <w:rPr>
                <w:color w:val="002060"/>
              </w:rPr>
              <w:t xml:space="preserve">Suggestions for giving feedback appear at </w:t>
            </w:r>
            <w:hyperlink r:id="rId9" w:history="1">
              <w:r w:rsidR="0026063D" w:rsidRPr="00864A1D">
                <w:rPr>
                  <w:rStyle w:val="Hyperlink"/>
                </w:rPr>
                <w:t>http://www.authoraid.info/en/news/details/1058/</w:t>
              </w:r>
            </w:hyperlink>
            <w:r w:rsidR="0026063D">
              <w:rPr>
                <w:color w:val="002060"/>
              </w:rPr>
              <w:t xml:space="preserve">, </w:t>
            </w:r>
            <w:hyperlink r:id="rId10" w:history="1">
              <w:r w:rsidR="0026063D" w:rsidRPr="00864A1D">
                <w:rPr>
                  <w:rStyle w:val="Hyperlink"/>
                </w:rPr>
                <w:t>http://www.authoraid.info/en/news/details/649/</w:t>
              </w:r>
            </w:hyperlink>
            <w:r w:rsidR="0026063D">
              <w:rPr>
                <w:color w:val="002060"/>
              </w:rPr>
              <w:t xml:space="preserve">, and </w:t>
            </w:r>
            <w:hyperlink r:id="rId11" w:history="1">
              <w:r w:rsidR="0026063D" w:rsidRPr="00864A1D">
                <w:rPr>
                  <w:rStyle w:val="Hyperlink"/>
                </w:rPr>
                <w:t>http://www.authoraid.info/en/news/details/302/</w:t>
              </w:r>
            </w:hyperlink>
            <w:r w:rsidR="0026063D">
              <w:rPr>
                <w:color w:val="002060"/>
              </w:rPr>
              <w:t xml:space="preserve">. </w:t>
            </w:r>
            <w:r w:rsidR="00E17E62">
              <w:rPr>
                <w:color w:val="002060"/>
              </w:rPr>
              <w:t>Also,</w:t>
            </w:r>
            <w:r w:rsidR="0026063D">
              <w:rPr>
                <w:color w:val="002060"/>
              </w:rPr>
              <w:t xml:space="preserve"> suggestions for receiving feedback appear at </w:t>
            </w:r>
            <w:hyperlink r:id="rId12" w:history="1">
              <w:r w:rsidR="0026063D" w:rsidRPr="00864A1D">
                <w:rPr>
                  <w:rStyle w:val="Hyperlink"/>
                </w:rPr>
                <w:t>http://www.authoraid.info/en/news/details/1059/</w:t>
              </w:r>
            </w:hyperlink>
            <w:r w:rsidR="0026063D">
              <w:rPr>
                <w:color w:val="002060"/>
              </w:rPr>
              <w:t xml:space="preserve">. Of course, </w:t>
            </w:r>
            <w:r w:rsidR="00E17E62">
              <w:rPr>
                <w:color w:val="002060"/>
              </w:rPr>
              <w:t>some facilitators might need</w:t>
            </w:r>
            <w:r w:rsidR="0026063D">
              <w:rPr>
                <w:color w:val="002060"/>
              </w:rPr>
              <w:t xml:space="preserve"> to adapt the advice on giving feedback to the cultural context.</w:t>
            </w:r>
          </w:p>
          <w:p w:rsidR="008D32B9" w:rsidRPr="007E27E0" w:rsidRDefault="00A45ADC" w:rsidP="00DB749F">
            <w:pPr>
              <w:pStyle w:val="ListParagraph"/>
              <w:framePr w:hSpace="0" w:wrap="auto" w:vAnchor="margin" w:hAnchor="text" w:yAlign="inline"/>
              <w:rPr>
                <w:color w:val="002060"/>
              </w:rPr>
            </w:pPr>
            <w:r>
              <w:rPr>
                <w:color w:val="002060"/>
              </w:rPr>
              <w:t>Slide 1</w:t>
            </w:r>
            <w:r w:rsidR="00CF15F5">
              <w:rPr>
                <w:color w:val="002060"/>
              </w:rPr>
              <w:t>1</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1D4CE5" w:rsidRPr="00A4492C" w:rsidRDefault="001D4CE5" w:rsidP="00A4492C">
      <w:bookmarkStart w:id="0" w:name="_GoBack"/>
      <w:bookmarkEnd w:id="0"/>
    </w:p>
    <w:sectPr w:rsidR="001D4CE5" w:rsidRPr="00A4492C" w:rsidSect="001D4CE5">
      <w:headerReference w:type="even" r:id="rId13"/>
      <w:headerReference w:type="default" r:id="rId14"/>
      <w:footerReference w:type="even" r:id="rId15"/>
      <w:footerReference w:type="default" r:id="rId16"/>
      <w:headerReference w:type="first" r:id="rId17"/>
      <w:footerReference w:type="first" r:id="rId18"/>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15F5">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r w:rsidR="00CF15F5">
      <w:fldChar w:fldCharType="begin"/>
    </w:r>
    <w:r w:rsidR="00CF15F5">
      <w:instrText xml:space="preserve"> FILENAME  \* Caps  \* MERGEFORMAT </w:instrText>
    </w:r>
    <w:r w:rsidR="00CF15F5">
      <w:fldChar w:fldCharType="separate"/>
    </w:r>
    <w:r w:rsidR="002A037A">
      <w:rPr>
        <w:noProof/>
      </w:rPr>
      <w:t>Document3</w:t>
    </w:r>
    <w:r w:rsidR="00CF15F5">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9B6">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CF15F5">
      <w:fldChar w:fldCharType="begin"/>
    </w:r>
    <w:r w:rsidR="00CF15F5">
      <w:instrText xml:space="preserve"> FILENAME  \* Caps  \* MERGEFORMAT </w:instrText>
    </w:r>
    <w:r w:rsidR="00CF15F5">
      <w:fldChar w:fldCharType="separate"/>
    </w:r>
    <w:r w:rsidR="002A037A">
      <w:rPr>
        <w:noProof/>
      </w:rPr>
      <w:t>Document3</w:t>
    </w:r>
    <w:r w:rsidR="00CF15F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F57E9222"/>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5F79"/>
    <w:rsid w:val="00085616"/>
    <w:rsid w:val="000B36AF"/>
    <w:rsid w:val="000E08FB"/>
    <w:rsid w:val="000F13AF"/>
    <w:rsid w:val="000F3BC9"/>
    <w:rsid w:val="000F7A31"/>
    <w:rsid w:val="00113008"/>
    <w:rsid w:val="00132E50"/>
    <w:rsid w:val="0013447F"/>
    <w:rsid w:val="00155972"/>
    <w:rsid w:val="001569EE"/>
    <w:rsid w:val="001A5E8D"/>
    <w:rsid w:val="001D4CE5"/>
    <w:rsid w:val="001E0ABB"/>
    <w:rsid w:val="00207394"/>
    <w:rsid w:val="00232D2D"/>
    <w:rsid w:val="002338EF"/>
    <w:rsid w:val="0026063D"/>
    <w:rsid w:val="00262ED7"/>
    <w:rsid w:val="00265889"/>
    <w:rsid w:val="002809B6"/>
    <w:rsid w:val="0029029C"/>
    <w:rsid w:val="002952A0"/>
    <w:rsid w:val="002A037A"/>
    <w:rsid w:val="002C2EF7"/>
    <w:rsid w:val="002C619D"/>
    <w:rsid w:val="002E6CDC"/>
    <w:rsid w:val="00312603"/>
    <w:rsid w:val="003179A8"/>
    <w:rsid w:val="00334829"/>
    <w:rsid w:val="00352456"/>
    <w:rsid w:val="00361DE5"/>
    <w:rsid w:val="0036730C"/>
    <w:rsid w:val="0037286D"/>
    <w:rsid w:val="00373BB6"/>
    <w:rsid w:val="00380F18"/>
    <w:rsid w:val="0038156B"/>
    <w:rsid w:val="003864C3"/>
    <w:rsid w:val="00396B4A"/>
    <w:rsid w:val="003A0D95"/>
    <w:rsid w:val="003A1AA8"/>
    <w:rsid w:val="003E14A9"/>
    <w:rsid w:val="003E3EDA"/>
    <w:rsid w:val="003E7126"/>
    <w:rsid w:val="003F014B"/>
    <w:rsid w:val="004048A8"/>
    <w:rsid w:val="00410970"/>
    <w:rsid w:val="004137DB"/>
    <w:rsid w:val="0041765D"/>
    <w:rsid w:val="004338B1"/>
    <w:rsid w:val="00443ED6"/>
    <w:rsid w:val="00493E5A"/>
    <w:rsid w:val="004C6E51"/>
    <w:rsid w:val="004D1BAD"/>
    <w:rsid w:val="004D24C1"/>
    <w:rsid w:val="004D547C"/>
    <w:rsid w:val="004E2723"/>
    <w:rsid w:val="004E5DDF"/>
    <w:rsid w:val="004F7EC7"/>
    <w:rsid w:val="00521438"/>
    <w:rsid w:val="00525E75"/>
    <w:rsid w:val="00563FEE"/>
    <w:rsid w:val="00566678"/>
    <w:rsid w:val="0057487A"/>
    <w:rsid w:val="005A1DB3"/>
    <w:rsid w:val="005C1048"/>
    <w:rsid w:val="006063AA"/>
    <w:rsid w:val="006411CF"/>
    <w:rsid w:val="00650236"/>
    <w:rsid w:val="006527D1"/>
    <w:rsid w:val="006551BA"/>
    <w:rsid w:val="00667BFB"/>
    <w:rsid w:val="006724F0"/>
    <w:rsid w:val="00675BFD"/>
    <w:rsid w:val="00676B6D"/>
    <w:rsid w:val="00681023"/>
    <w:rsid w:val="006946C9"/>
    <w:rsid w:val="006A76B2"/>
    <w:rsid w:val="006B151E"/>
    <w:rsid w:val="006B24CB"/>
    <w:rsid w:val="006B37F7"/>
    <w:rsid w:val="006C0E5E"/>
    <w:rsid w:val="006D12FD"/>
    <w:rsid w:val="006D49E2"/>
    <w:rsid w:val="006E3517"/>
    <w:rsid w:val="006E735F"/>
    <w:rsid w:val="006E7974"/>
    <w:rsid w:val="006F1F10"/>
    <w:rsid w:val="006F3219"/>
    <w:rsid w:val="00736FA3"/>
    <w:rsid w:val="007429FD"/>
    <w:rsid w:val="007511FB"/>
    <w:rsid w:val="00751C5E"/>
    <w:rsid w:val="00795511"/>
    <w:rsid w:val="007C3E59"/>
    <w:rsid w:val="007E27E0"/>
    <w:rsid w:val="007E4533"/>
    <w:rsid w:val="00800286"/>
    <w:rsid w:val="00803F25"/>
    <w:rsid w:val="00804680"/>
    <w:rsid w:val="0080511C"/>
    <w:rsid w:val="00816A5D"/>
    <w:rsid w:val="008246DC"/>
    <w:rsid w:val="0082709A"/>
    <w:rsid w:val="008272DA"/>
    <w:rsid w:val="00863905"/>
    <w:rsid w:val="00864C2D"/>
    <w:rsid w:val="00870559"/>
    <w:rsid w:val="00893BE3"/>
    <w:rsid w:val="008B64E4"/>
    <w:rsid w:val="008B7668"/>
    <w:rsid w:val="008C1EFE"/>
    <w:rsid w:val="008C7C8D"/>
    <w:rsid w:val="008D32B9"/>
    <w:rsid w:val="008F4065"/>
    <w:rsid w:val="008F5264"/>
    <w:rsid w:val="008F5A43"/>
    <w:rsid w:val="00903736"/>
    <w:rsid w:val="00917FA6"/>
    <w:rsid w:val="0093614A"/>
    <w:rsid w:val="009400B3"/>
    <w:rsid w:val="0096064C"/>
    <w:rsid w:val="00974C03"/>
    <w:rsid w:val="00981C1B"/>
    <w:rsid w:val="009C4659"/>
    <w:rsid w:val="00A0616D"/>
    <w:rsid w:val="00A179EA"/>
    <w:rsid w:val="00A42A21"/>
    <w:rsid w:val="00A4492C"/>
    <w:rsid w:val="00A45ADC"/>
    <w:rsid w:val="00A537E1"/>
    <w:rsid w:val="00A62288"/>
    <w:rsid w:val="00A86781"/>
    <w:rsid w:val="00A91DB2"/>
    <w:rsid w:val="00A948C0"/>
    <w:rsid w:val="00AA25F0"/>
    <w:rsid w:val="00AA3464"/>
    <w:rsid w:val="00AB7726"/>
    <w:rsid w:val="00AC15AC"/>
    <w:rsid w:val="00AD6259"/>
    <w:rsid w:val="00AF130C"/>
    <w:rsid w:val="00B02D93"/>
    <w:rsid w:val="00B0707C"/>
    <w:rsid w:val="00B2216E"/>
    <w:rsid w:val="00B34C6E"/>
    <w:rsid w:val="00B4770D"/>
    <w:rsid w:val="00B761E8"/>
    <w:rsid w:val="00B810D7"/>
    <w:rsid w:val="00B84FCE"/>
    <w:rsid w:val="00B86CBE"/>
    <w:rsid w:val="00B87815"/>
    <w:rsid w:val="00BA4987"/>
    <w:rsid w:val="00BE3E2C"/>
    <w:rsid w:val="00BE6E5A"/>
    <w:rsid w:val="00BF5000"/>
    <w:rsid w:val="00C25795"/>
    <w:rsid w:val="00C45A36"/>
    <w:rsid w:val="00C60915"/>
    <w:rsid w:val="00C61225"/>
    <w:rsid w:val="00C61FBB"/>
    <w:rsid w:val="00C63D24"/>
    <w:rsid w:val="00C67998"/>
    <w:rsid w:val="00C73920"/>
    <w:rsid w:val="00C90B03"/>
    <w:rsid w:val="00C93FBC"/>
    <w:rsid w:val="00C96EF4"/>
    <w:rsid w:val="00CA4D38"/>
    <w:rsid w:val="00CC52E5"/>
    <w:rsid w:val="00CC5FF1"/>
    <w:rsid w:val="00CD43E9"/>
    <w:rsid w:val="00CE6E82"/>
    <w:rsid w:val="00CF15F5"/>
    <w:rsid w:val="00CF4956"/>
    <w:rsid w:val="00D20FF8"/>
    <w:rsid w:val="00D246B6"/>
    <w:rsid w:val="00D30B93"/>
    <w:rsid w:val="00D5287C"/>
    <w:rsid w:val="00D550E4"/>
    <w:rsid w:val="00D60E4A"/>
    <w:rsid w:val="00D87446"/>
    <w:rsid w:val="00D876D3"/>
    <w:rsid w:val="00DB2FBC"/>
    <w:rsid w:val="00DB749F"/>
    <w:rsid w:val="00DC505E"/>
    <w:rsid w:val="00DE3F04"/>
    <w:rsid w:val="00DF38F3"/>
    <w:rsid w:val="00DF7164"/>
    <w:rsid w:val="00E01FDC"/>
    <w:rsid w:val="00E17E62"/>
    <w:rsid w:val="00E345C6"/>
    <w:rsid w:val="00E95521"/>
    <w:rsid w:val="00EB2154"/>
    <w:rsid w:val="00EC0A87"/>
    <w:rsid w:val="00ED5161"/>
    <w:rsid w:val="00EE357D"/>
    <w:rsid w:val="00F02BD5"/>
    <w:rsid w:val="00F07DA6"/>
    <w:rsid w:val="00F124A1"/>
    <w:rsid w:val="00F27539"/>
    <w:rsid w:val="00F36700"/>
    <w:rsid w:val="00FA13CF"/>
    <w:rsid w:val="00FB2D5F"/>
    <w:rsid w:val="00FD1FB6"/>
    <w:rsid w:val="00FD3F8E"/>
    <w:rsid w:val="00FD5018"/>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16"/>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 w:type="character" w:styleId="FollowedHyperlink">
    <w:name w:val="FollowedHyperlink"/>
    <w:basedOn w:val="DefaultParagraphFont"/>
    <w:uiPriority w:val="99"/>
    <w:semiHidden/>
    <w:unhideWhenUsed/>
    <w:rsid w:val="00B86C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616"/>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 w:type="character" w:styleId="FollowedHyperlink">
    <w:name w:val="FollowedHyperlink"/>
    <w:basedOn w:val="DefaultParagraphFont"/>
    <w:uiPriority w:val="99"/>
    <w:semiHidden/>
    <w:unhideWhenUsed/>
    <w:rsid w:val="00B86C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uthoraid.info/en/news/details/105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horaid.info/en/news/details/3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uthoraid.info/en/news/details/6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uthoraid.info/en/news/details/1058/"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12</cp:revision>
  <dcterms:created xsi:type="dcterms:W3CDTF">2016-10-02T18:08:00Z</dcterms:created>
  <dcterms:modified xsi:type="dcterms:W3CDTF">2016-10-02T22:03:00Z</dcterms:modified>
</cp:coreProperties>
</file>