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bookmarkStart w:id="0" w:name="_GoBack"/>
      <w:bookmarkEnd w:id="0"/>
    </w:p>
    <w:p w:rsidR="00F02BD5" w:rsidRDefault="00084781" w:rsidP="00F02BD5">
      <w:pPr>
        <w:pStyle w:val="Heading1"/>
      </w:pPr>
      <w:r>
        <w:t>The Grant Application Process: An Overview</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084781" w:rsidP="00B031EB">
            <w:pPr>
              <w:rPr>
                <w:rFonts w:cs="Arial"/>
                <w:color w:val="002060"/>
              </w:rPr>
            </w:pPr>
            <w:r>
              <w:rPr>
                <w:rFonts w:cs="Arial"/>
                <w:color w:val="002060"/>
              </w:rPr>
              <w:t>The Grant Application Process: An Overview</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981C1B" w:rsidRDefault="002A037A" w:rsidP="00ED5161">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B71BA4">
              <w:rPr>
                <w:rFonts w:cs="Arial"/>
                <w:color w:val="002060"/>
              </w:rPr>
              <w:t xml:space="preserve"> </w:t>
            </w:r>
            <w:r w:rsidR="00084781">
              <w:rPr>
                <w:rFonts w:cs="Arial"/>
                <w:color w:val="002060"/>
              </w:rPr>
              <w:t>Typically, most or all of the nine should be used, in the order (or approximately the order) in which they are numbered.</w:t>
            </w:r>
          </w:p>
          <w:p w:rsidR="00ED5161" w:rsidRPr="00DE3F04" w:rsidRDefault="00ED5161" w:rsidP="00207394">
            <w:pPr>
              <w:rPr>
                <w:rFonts w:cs="Arial"/>
                <w:color w:val="002060"/>
              </w:rPr>
            </w:pP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C15A3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xml:space="preserve">. The length would depend mainly on how much the facilitator elaborates on points in the slides, how much discussion there is, and how much time is devoted to the small-group activity. </w:t>
            </w:r>
            <w:r w:rsidR="00C15A36">
              <w:rPr>
                <w:rFonts w:cs="Arial"/>
                <w:color w:val="002060"/>
              </w:rPr>
              <w:t>The facilitator should keep in mind that this module is intended as an introductory overview and that major points will be developed further in later modules.</w:t>
            </w:r>
            <w:r w:rsidR="000F13AF">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C15A36">
            <w:pPr>
              <w:rPr>
                <w:rFonts w:cs="Arial"/>
                <w:color w:val="002060"/>
              </w:rPr>
            </w:pPr>
            <w:r w:rsidRPr="007E27E0">
              <w:rPr>
                <w:rFonts w:cs="Arial"/>
                <w:color w:val="002060"/>
              </w:rPr>
              <w:t xml:space="preserve">This module is intended mainly to </w:t>
            </w:r>
            <w:r w:rsidR="00C15A36">
              <w:rPr>
                <w:rFonts w:cs="Arial"/>
                <w:color w:val="002060"/>
              </w:rPr>
              <w:t>introduce participants to the unit by (1) providing an overview of the grant proposal process and (2) introducing key points that will be developed further in later modules.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C15A36">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C15A36">
              <w:rPr>
                <w:rFonts w:cs="Arial"/>
                <w:color w:val="002060"/>
              </w:rPr>
              <w:t xml:space="preserve">describe </w:t>
            </w:r>
            <w:r w:rsidR="00361DE5">
              <w:rPr>
                <w:rFonts w:cs="Arial"/>
                <w:color w:val="002060"/>
              </w:rPr>
              <w:t xml:space="preserve">the </w:t>
            </w:r>
            <w:r w:rsidR="00C15A36">
              <w:rPr>
                <w:rFonts w:cs="Arial"/>
                <w:color w:val="002060"/>
              </w:rPr>
              <w:t>two main approaches to seeking a funding source well matched with one’s work,</w:t>
            </w:r>
            <w:r w:rsidR="00C61FBB">
              <w:rPr>
                <w:rFonts w:cs="Arial"/>
                <w:color w:val="002060"/>
              </w:rPr>
              <w:t xml:space="preserve"> (2) </w:t>
            </w:r>
            <w:r w:rsidR="00C15A36">
              <w:rPr>
                <w:rFonts w:cs="Arial"/>
                <w:color w:val="002060"/>
              </w:rPr>
              <w:t>briefly summarize the process of obtaining a grant, (3) state several key pieces of advice to follow when preparing a grant proposal.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2A037A" w:rsidP="00DE36F6">
            <w:pPr>
              <w:rPr>
                <w:rFonts w:cs="Arial"/>
                <w:color w:val="002060"/>
              </w:rPr>
            </w:pPr>
            <w:r w:rsidRPr="007E27E0">
              <w:rPr>
                <w:rFonts w:cs="Arial"/>
                <w:color w:val="002060"/>
              </w:rPr>
              <w:t xml:space="preserve">Ideally, this </w:t>
            </w:r>
            <w:r w:rsidR="00DE36F6">
              <w:rPr>
                <w:rFonts w:cs="Arial"/>
                <w:color w:val="002060"/>
              </w:rPr>
              <w:t>module</w:t>
            </w:r>
            <w:r w:rsidRPr="007E27E0">
              <w:rPr>
                <w:rFonts w:cs="Arial"/>
                <w:color w:val="002060"/>
              </w:rPr>
              <w:t xml:space="preserve"> would be facilitated by someone who has experience with </w:t>
            </w:r>
            <w:r w:rsidR="00DE36F6">
              <w:rPr>
                <w:rFonts w:cs="Arial"/>
                <w:color w:val="002060"/>
              </w:rPr>
              <w:t>writing, editing, or reviewing grant proposals</w:t>
            </w:r>
            <w:r w:rsidRPr="007E27E0">
              <w:rPr>
                <w:rFonts w:cs="Arial"/>
                <w:color w:val="002060"/>
              </w:rPr>
              <w:t xml:space="preserve">, </w:t>
            </w:r>
            <w:r w:rsidR="00675BFD" w:rsidRPr="007E27E0">
              <w:rPr>
                <w:rFonts w:cs="Arial"/>
                <w:color w:val="002060"/>
              </w:rPr>
              <w:t>because</w:t>
            </w:r>
            <w:r w:rsidRPr="007E27E0">
              <w:rPr>
                <w:rFonts w:cs="Arial"/>
                <w:color w:val="002060"/>
              </w:rPr>
              <w:t xml:space="preserve"> such an individual can enrich the content with examples from his or her experience. However, a less experienced facilitator also can present the module</w:t>
            </w:r>
            <w:r w:rsidR="00EE357D">
              <w:rPr>
                <w:rFonts w:cs="Arial"/>
                <w:color w:val="002060"/>
              </w:rPr>
              <w:t>, as the combination of PowerPoint slides and facilitator notes provides sufficient information to do so</w:t>
            </w:r>
            <w:r w:rsidRPr="007E27E0">
              <w:rPr>
                <w:rFonts w:cs="Arial"/>
                <w:color w:val="002060"/>
              </w:rPr>
              <w:t>. Also, the module can be presented jointly by a facilitator and a co-facilitator who provides additional commentary.</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t>
            </w:r>
            <w:r w:rsidR="00DE36F6">
              <w:rPr>
                <w:rFonts w:cs="Arial"/>
                <w:color w:val="002060"/>
              </w:rPr>
              <w:lastRenderedPageBreak/>
              <w:t>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Pre-workshop Activities</w:t>
            </w:r>
          </w:p>
        </w:tc>
        <w:tc>
          <w:tcPr>
            <w:tcW w:w="7458" w:type="dxa"/>
          </w:tcPr>
          <w:p w:rsidR="002A037A" w:rsidRPr="007E27E0" w:rsidRDefault="00CE176E" w:rsidP="002338EF">
            <w:pPr>
              <w:rPr>
                <w:rFonts w:cs="Arial"/>
                <w:color w:val="002060"/>
              </w:rPr>
            </w:pPr>
            <w:r>
              <w:rPr>
                <w:rFonts w:cs="Arial"/>
                <w:color w:val="002060"/>
              </w:rPr>
              <w:t>No pre-workshop activities are required. However, participants are encouraged to identify beforehand a research project or other project for which they would like to seek grant funding.</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01_Grant Application Process Overview</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Pr="007E27E0" w:rsidRDefault="002A037A" w:rsidP="00CE176E">
            <w:pPr>
              <w:rPr>
                <w:rFonts w:cs="Arial"/>
                <w:color w:val="002060"/>
              </w:rPr>
            </w:pPr>
            <w:r w:rsidRPr="007E27E0">
              <w:rPr>
                <w:rFonts w:cs="Arial"/>
                <w:color w:val="002060"/>
              </w:rPr>
              <w:t>Computer with PowerPoint; projector for PowerPoint presentation</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2338EF" w:rsidP="002338EF">
            <w:pPr>
              <w:rPr>
                <w:rFonts w:cs="Arial"/>
                <w:color w:val="002060"/>
              </w:rPr>
            </w:pP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E176E">
              <w:rPr>
                <w:color w:val="002060"/>
              </w:rPr>
              <w:t>Preview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CE176E">
              <w:rPr>
                <w:color w:val="002060"/>
              </w:rPr>
              <w:t>Seeking a Possible Match: Two Approaches</w:t>
            </w:r>
            <w:r w:rsidRPr="007E27E0">
              <w:rPr>
                <w:color w:val="002060"/>
              </w:rPr>
              <w:t>”)</w:t>
            </w:r>
          </w:p>
          <w:p w:rsidR="00CE176E" w:rsidRDefault="00CE176E" w:rsidP="00CE176E">
            <w:pPr>
              <w:pStyle w:val="ListParagraph"/>
              <w:framePr w:hSpace="0" w:wrap="auto" w:vAnchor="margin" w:hAnchor="text" w:yAlign="inline"/>
              <w:numPr>
                <w:ilvl w:val="1"/>
                <w:numId w:val="4"/>
              </w:numPr>
              <w:rPr>
                <w:color w:val="002060"/>
              </w:rPr>
            </w:pPr>
            <w:r>
              <w:rPr>
                <w:color w:val="002060"/>
              </w:rPr>
              <w:t>Summarize the two approaches.</w:t>
            </w:r>
          </w:p>
          <w:p w:rsidR="00CE176E" w:rsidRDefault="00CE176E" w:rsidP="00CE176E">
            <w:pPr>
              <w:pStyle w:val="ListParagraph"/>
              <w:framePr w:hSpace="0" w:wrap="auto" w:vAnchor="margin" w:hAnchor="text" w:yAlign="inline"/>
              <w:numPr>
                <w:ilvl w:val="1"/>
                <w:numId w:val="4"/>
              </w:numPr>
              <w:rPr>
                <w:color w:val="002060"/>
              </w:rPr>
            </w:pPr>
            <w:r>
              <w:rPr>
                <w:color w:val="002060"/>
              </w:rPr>
              <w:t>Perhaps note that sometimes a combination of the two approaches is most effective.</w:t>
            </w:r>
          </w:p>
          <w:p w:rsidR="00CE176E" w:rsidRDefault="00CE176E" w:rsidP="00CE176E">
            <w:pPr>
              <w:pStyle w:val="ListParagraph"/>
              <w:framePr w:hSpace="0" w:wrap="auto" w:vAnchor="margin" w:hAnchor="text" w:yAlign="inline"/>
              <w:numPr>
                <w:ilvl w:val="1"/>
                <w:numId w:val="4"/>
              </w:numPr>
              <w:rPr>
                <w:color w:val="002060"/>
              </w:rPr>
            </w:pPr>
            <w:r>
              <w:rPr>
                <w:color w:val="002060"/>
              </w:rPr>
              <w:t>Perhaps note that a later module will discuss finding funding sources.</w:t>
            </w:r>
          </w:p>
          <w:p w:rsidR="00CE176E" w:rsidRPr="002E6CDC" w:rsidRDefault="00CE176E" w:rsidP="00CE176E">
            <w:pPr>
              <w:pStyle w:val="ListParagraph"/>
              <w:framePr w:hSpace="0" w:wrap="auto" w:vAnchor="margin" w:hAnchor="text" w:yAlign="inline"/>
              <w:numPr>
                <w:ilvl w:val="1"/>
                <w:numId w:val="4"/>
              </w:numPr>
              <w:rPr>
                <w:color w:val="002060"/>
              </w:rPr>
            </w:pPr>
            <w:r>
              <w:rPr>
                <w:color w:val="002060"/>
              </w:rPr>
              <w:t xml:space="preserve">To elicit participation, perhaps </w:t>
            </w:r>
            <w:proofErr w:type="gramStart"/>
            <w:r>
              <w:rPr>
                <w:color w:val="002060"/>
              </w:rPr>
              <w:t>do</w:t>
            </w:r>
            <w:proofErr w:type="gramEnd"/>
            <w:r>
              <w:rPr>
                <w:color w:val="002060"/>
              </w:rPr>
              <w:t xml:space="preserve"> one of the following: (1) ask participants which approach they would prefer and why; (2) ask whether any participants have experience with either of the approaches and, if so, to give some examples</w:t>
            </w:r>
            <w:r w:rsidR="001129FD">
              <w:rPr>
                <w:color w:val="002060"/>
              </w:rPr>
              <w:t>.</w:t>
            </w:r>
          </w:p>
          <w:p w:rsidR="00DB749F" w:rsidRDefault="003E14A9" w:rsidP="00DB749F">
            <w:pPr>
              <w:pStyle w:val="ListParagraph"/>
              <w:framePr w:hSpace="0" w:wrap="auto" w:vAnchor="margin" w:hAnchor="text" w:yAlign="inline"/>
              <w:rPr>
                <w:color w:val="002060"/>
              </w:rPr>
            </w:pPr>
            <w:r w:rsidRPr="007E27E0">
              <w:rPr>
                <w:color w:val="002060"/>
              </w:rPr>
              <w:t>Slide 4 (“</w:t>
            </w:r>
            <w:r w:rsidR="001129FD">
              <w:rPr>
                <w:color w:val="002060"/>
              </w:rPr>
              <w:t>Preparing to Write the Proposal</w:t>
            </w:r>
            <w:r w:rsidRPr="007E27E0">
              <w:rPr>
                <w:color w:val="002060"/>
              </w:rPr>
              <w:t>”)</w:t>
            </w:r>
          </w:p>
          <w:p w:rsidR="001129FD" w:rsidRDefault="001129FD" w:rsidP="001129FD">
            <w:pPr>
              <w:pStyle w:val="ListParagraph"/>
              <w:framePr w:hSpace="0" w:wrap="auto" w:vAnchor="margin" w:hAnchor="text" w:yAlign="inline"/>
              <w:numPr>
                <w:ilvl w:val="1"/>
                <w:numId w:val="4"/>
              </w:numPr>
              <w:rPr>
                <w:color w:val="002060"/>
              </w:rPr>
            </w:pPr>
            <w:r>
              <w:rPr>
                <w:color w:val="002060"/>
              </w:rPr>
              <w:t xml:space="preserve">Explain what a program officer is (a funding-agency employee who administers grant programs and thus whose job generally includes </w:t>
            </w:r>
            <w:r w:rsidR="00B63657">
              <w:rPr>
                <w:color w:val="002060"/>
              </w:rPr>
              <w:t xml:space="preserve">advising </w:t>
            </w:r>
            <w:r>
              <w:rPr>
                <w:color w:val="002060"/>
              </w:rPr>
              <w:t xml:space="preserve">applicants). Note that program officers can be very helpful, for example in </w:t>
            </w:r>
            <w:r w:rsidR="00B63657">
              <w:rPr>
                <w:color w:val="002060"/>
              </w:rPr>
              <w:t>helping to determine</w:t>
            </w:r>
            <w:r>
              <w:rPr>
                <w:color w:val="002060"/>
              </w:rPr>
              <w:t xml:space="preserve"> whether a project is likely to be </w:t>
            </w:r>
            <w:r w:rsidR="00B63657">
              <w:rPr>
                <w:color w:val="002060"/>
              </w:rPr>
              <w:t>suitable</w:t>
            </w:r>
            <w:r>
              <w:rPr>
                <w:color w:val="002060"/>
              </w:rPr>
              <w:t xml:space="preserve"> for a given grant program and in advising researchers in preparing proposals.</w:t>
            </w:r>
          </w:p>
          <w:p w:rsidR="001129FD" w:rsidRDefault="001129FD" w:rsidP="001129FD">
            <w:pPr>
              <w:pStyle w:val="ListParagraph"/>
              <w:framePr w:hSpace="0" w:wrap="auto" w:vAnchor="margin" w:hAnchor="text" w:yAlign="inline"/>
              <w:numPr>
                <w:ilvl w:val="1"/>
                <w:numId w:val="4"/>
              </w:numPr>
              <w:rPr>
                <w:color w:val="002060"/>
              </w:rPr>
            </w:pPr>
            <w:r>
              <w:rPr>
                <w:color w:val="002060"/>
              </w:rPr>
              <w:t xml:space="preserve">Note that a later module will deal </w:t>
            </w:r>
            <w:r w:rsidR="00B63657">
              <w:rPr>
                <w:color w:val="002060"/>
              </w:rPr>
              <w:t>solely</w:t>
            </w:r>
            <w:r>
              <w:rPr>
                <w:color w:val="002060"/>
              </w:rPr>
              <w:t xml:space="preserve"> with preparing to write a proposal.</w:t>
            </w:r>
          </w:p>
          <w:p w:rsidR="001129FD" w:rsidRDefault="001129FD" w:rsidP="001129FD">
            <w:pPr>
              <w:pStyle w:val="ListParagraph"/>
              <w:framePr w:hSpace="0" w:wrap="auto" w:vAnchor="margin" w:hAnchor="text" w:yAlign="inline"/>
              <w:numPr>
                <w:ilvl w:val="1"/>
                <w:numId w:val="4"/>
              </w:numPr>
              <w:rPr>
                <w:color w:val="002060"/>
              </w:rPr>
            </w:pPr>
            <w:r>
              <w:rPr>
                <w:color w:val="002060"/>
              </w:rPr>
              <w:t xml:space="preserve">If </w:t>
            </w:r>
            <w:r w:rsidR="00B63657">
              <w:rPr>
                <w:color w:val="002060"/>
              </w:rPr>
              <w:t xml:space="preserve">you will use </w:t>
            </w:r>
            <w:r>
              <w:rPr>
                <w:color w:val="002060"/>
              </w:rPr>
              <w:t>the module on the literature review as a foundation for a proposal</w:t>
            </w:r>
            <w:r w:rsidR="00B63657">
              <w:rPr>
                <w:color w:val="002060"/>
              </w:rPr>
              <w:t>,</w:t>
            </w:r>
            <w:r>
              <w:rPr>
                <w:color w:val="002060"/>
              </w:rPr>
              <w:t xml:space="preserve"> note it too.</w:t>
            </w:r>
          </w:p>
          <w:p w:rsidR="00FD1FB6" w:rsidRDefault="00FD1FB6" w:rsidP="00FD1FB6">
            <w:pPr>
              <w:pStyle w:val="ListParagraph"/>
              <w:framePr w:hSpace="0" w:wrap="auto" w:vAnchor="margin" w:hAnchor="text" w:yAlign="inline"/>
              <w:rPr>
                <w:color w:val="002060"/>
              </w:rPr>
            </w:pPr>
            <w:r>
              <w:rPr>
                <w:color w:val="002060"/>
              </w:rPr>
              <w:t>Slide 5 (“</w:t>
            </w:r>
            <w:r w:rsidR="00B63657">
              <w:rPr>
                <w:color w:val="002060"/>
              </w:rPr>
              <w:t>Writing and Submitting the Proposal</w:t>
            </w:r>
            <w:r>
              <w:rPr>
                <w:color w:val="002060"/>
              </w:rPr>
              <w:t>”)</w:t>
            </w:r>
          </w:p>
          <w:p w:rsidR="00B87815" w:rsidRDefault="00B63657" w:rsidP="00B63657">
            <w:pPr>
              <w:pStyle w:val="ListParagraph"/>
              <w:framePr w:hSpace="0" w:wrap="auto" w:vAnchor="margin" w:hAnchor="text" w:yAlign="inline"/>
              <w:numPr>
                <w:ilvl w:val="1"/>
                <w:numId w:val="4"/>
              </w:numPr>
              <w:rPr>
                <w:color w:val="002060"/>
              </w:rPr>
            </w:pPr>
            <w:r>
              <w:rPr>
                <w:color w:val="002060"/>
              </w:rPr>
              <w:t>In discussing the first bulleted item, n</w:t>
            </w:r>
            <w:r w:rsidR="00B87815">
              <w:rPr>
                <w:color w:val="002060"/>
              </w:rPr>
              <w:t>o</w:t>
            </w:r>
            <w:r>
              <w:rPr>
                <w:color w:val="002060"/>
              </w:rPr>
              <w:t xml:space="preserve">te that sometimes submitting a grant proposal is a two-stage process, consisting of first submitting a brief preliminary proposal and then submitting a </w:t>
            </w:r>
            <w:r>
              <w:rPr>
                <w:color w:val="002060"/>
              </w:rPr>
              <w:lastRenderedPageBreak/>
              <w:t>full proposal. In some instances, only those w</w:t>
            </w:r>
            <w:r w:rsidR="00275BA0">
              <w:rPr>
                <w:color w:val="002060"/>
              </w:rPr>
              <w:t>ith</w:t>
            </w:r>
            <w:r>
              <w:rPr>
                <w:color w:val="002060"/>
              </w:rPr>
              <w:t xml:space="preserve"> the best preliminary proposals are invited to submit full proposals. In other instances</w:t>
            </w:r>
            <w:r w:rsidR="00275BA0">
              <w:rPr>
                <w:color w:val="002060"/>
              </w:rPr>
              <w:t xml:space="preserve"> (for example, where the funding agency just wanted to be able to plan), all who submitted preliminary proposals can submit full proposals.</w:t>
            </w:r>
          </w:p>
          <w:p w:rsidR="00D52C37" w:rsidRDefault="00D52C37" w:rsidP="00B63657">
            <w:pPr>
              <w:pStyle w:val="ListParagraph"/>
              <w:framePr w:hSpace="0" w:wrap="auto" w:vAnchor="margin" w:hAnchor="text" w:yAlign="inline"/>
              <w:numPr>
                <w:ilvl w:val="1"/>
                <w:numId w:val="4"/>
              </w:numPr>
              <w:rPr>
                <w:color w:val="002060"/>
              </w:rPr>
            </w:pPr>
            <w:r>
              <w:rPr>
                <w:color w:val="002060"/>
              </w:rPr>
              <w:t>Also regarding the first bulleted item: If appropriate, perhaps share or ask about experience with two-stage proposal submission processes.</w:t>
            </w:r>
          </w:p>
          <w:p w:rsidR="00275BA0" w:rsidRDefault="00275BA0" w:rsidP="00B63657">
            <w:pPr>
              <w:pStyle w:val="ListParagraph"/>
              <w:framePr w:hSpace="0" w:wrap="auto" w:vAnchor="margin" w:hAnchor="text" w:yAlign="inline"/>
              <w:numPr>
                <w:ilvl w:val="1"/>
                <w:numId w:val="4"/>
              </w:numPr>
              <w:rPr>
                <w:color w:val="002060"/>
              </w:rPr>
            </w:pPr>
            <w:r>
              <w:rPr>
                <w:color w:val="002060"/>
              </w:rPr>
              <w:t>Perhaps note that now proposals typically are submitted electronically.</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275BA0">
              <w:rPr>
                <w:color w:val="002060"/>
              </w:rPr>
              <w:t>Awaiting the Decision</w:t>
            </w:r>
            <w:r w:rsidRPr="007E27E0">
              <w:rPr>
                <w:color w:val="002060"/>
              </w:rPr>
              <w:t>”)</w:t>
            </w:r>
          </w:p>
          <w:p w:rsidR="0082709A" w:rsidRDefault="00275BA0" w:rsidP="008F5A43">
            <w:pPr>
              <w:pStyle w:val="ListParagraph"/>
              <w:framePr w:hSpace="0" w:wrap="auto" w:vAnchor="margin" w:hAnchor="text" w:yAlign="inline"/>
              <w:numPr>
                <w:ilvl w:val="1"/>
                <w:numId w:val="4"/>
              </w:numPr>
              <w:rPr>
                <w:color w:val="002060"/>
              </w:rPr>
            </w:pPr>
            <w:r>
              <w:rPr>
                <w:color w:val="002060"/>
              </w:rPr>
              <w:t xml:space="preserve">Note that the technical level of the proposal should be geared to the backgrounds of the reviewers. If </w:t>
            </w:r>
            <w:r w:rsidR="00942055">
              <w:rPr>
                <w:color w:val="002060"/>
              </w:rPr>
              <w:t xml:space="preserve">the backgrounds are </w:t>
            </w:r>
            <w:r>
              <w:rPr>
                <w:color w:val="002060"/>
              </w:rPr>
              <w:t xml:space="preserve">not obvious from </w:t>
            </w:r>
            <w:r w:rsidR="00942055">
              <w:rPr>
                <w:color w:val="002060"/>
              </w:rPr>
              <w:t>available</w:t>
            </w:r>
            <w:r>
              <w:rPr>
                <w:color w:val="002060"/>
              </w:rPr>
              <w:t xml:space="preserve"> materials, </w:t>
            </w:r>
            <w:r w:rsidR="00942055">
              <w:rPr>
                <w:color w:val="002060"/>
              </w:rPr>
              <w:t xml:space="preserve">a prospective grant applicant may consult </w:t>
            </w:r>
            <w:r>
              <w:rPr>
                <w:color w:val="002060"/>
              </w:rPr>
              <w:t xml:space="preserve">a program officer </w:t>
            </w:r>
            <w:r w:rsidR="00942055">
              <w:rPr>
                <w:color w:val="002060"/>
              </w:rPr>
              <w:t xml:space="preserve">in this regard; he or she </w:t>
            </w:r>
            <w:r>
              <w:rPr>
                <w:color w:val="002060"/>
              </w:rPr>
              <w:t xml:space="preserve">should be able to say what type(s) of people will be reviewing the proposals (for example, experts in the same research specialty, researchers in the same general field, or community leaders). </w:t>
            </w:r>
            <w:r w:rsidR="00942055">
              <w:rPr>
                <w:color w:val="002060"/>
              </w:rPr>
              <w:t>Note that i</w:t>
            </w:r>
            <w:r>
              <w:rPr>
                <w:color w:val="002060"/>
              </w:rPr>
              <w:t>f non-specialists will be among the reviewers, the proposal should be written accordingly.</w:t>
            </w:r>
          </w:p>
          <w:p w:rsidR="00275BA0" w:rsidRDefault="00275BA0" w:rsidP="008F5A43">
            <w:pPr>
              <w:pStyle w:val="ListParagraph"/>
              <w:framePr w:hSpace="0" w:wrap="auto" w:vAnchor="margin" w:hAnchor="text" w:yAlign="inline"/>
              <w:numPr>
                <w:ilvl w:val="1"/>
                <w:numId w:val="4"/>
              </w:numPr>
              <w:rPr>
                <w:color w:val="002060"/>
              </w:rPr>
            </w:pPr>
            <w:r>
              <w:rPr>
                <w:color w:val="002060"/>
              </w:rPr>
              <w:t xml:space="preserve">Perhaps introduce the point that reviewers tend to be very busy and thus that </w:t>
            </w:r>
            <w:r w:rsidR="00942055">
              <w:rPr>
                <w:color w:val="002060"/>
              </w:rPr>
              <w:t>it is important to write proposals readably (as will be discussed in a later module).</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942055">
              <w:rPr>
                <w:color w:val="002060"/>
              </w:rPr>
              <w:t>Following Up</w:t>
            </w:r>
            <w:r w:rsidRPr="007E27E0">
              <w:rPr>
                <w:color w:val="002060"/>
              </w:rPr>
              <w:t>”)</w:t>
            </w:r>
          </w:p>
          <w:p w:rsidR="00B4770D" w:rsidRDefault="00942055" w:rsidP="00B4770D">
            <w:pPr>
              <w:pStyle w:val="ListParagraph"/>
              <w:framePr w:hSpace="0" w:wrap="auto" w:vAnchor="margin" w:hAnchor="text" w:yAlign="inline"/>
              <w:numPr>
                <w:ilvl w:val="1"/>
                <w:numId w:val="4"/>
              </w:numPr>
              <w:rPr>
                <w:color w:val="002060"/>
              </w:rPr>
            </w:pPr>
            <w:r>
              <w:rPr>
                <w:color w:val="002060"/>
              </w:rPr>
              <w:t xml:space="preserve">Emphasize that </w:t>
            </w:r>
            <w:r w:rsidR="00E95AE6">
              <w:rPr>
                <w:color w:val="002060"/>
              </w:rPr>
              <w:t xml:space="preserve">the </w:t>
            </w:r>
            <w:r w:rsidR="0008576F">
              <w:rPr>
                <w:color w:val="002060"/>
              </w:rPr>
              <w:t>recipients of</w:t>
            </w:r>
            <w:r>
              <w:rPr>
                <w:color w:val="002060"/>
              </w:rPr>
              <w:t xml:space="preserve"> research grants typically are expected to write about the work, both in progress reports to the funder </w:t>
            </w:r>
            <w:r w:rsidR="0008576F">
              <w:rPr>
                <w:color w:val="002060"/>
              </w:rPr>
              <w:t>and in publications such as journal articles. Researchers who receive grants but do not produce publications based on the work are likely to have difficulty obtaining future grants.</w:t>
            </w:r>
          </w:p>
          <w:p w:rsidR="0008576F" w:rsidRDefault="0008576F" w:rsidP="00B4770D">
            <w:pPr>
              <w:pStyle w:val="ListParagraph"/>
              <w:framePr w:hSpace="0" w:wrap="auto" w:vAnchor="margin" w:hAnchor="text" w:yAlign="inline"/>
              <w:numPr>
                <w:ilvl w:val="1"/>
                <w:numId w:val="4"/>
              </w:numPr>
              <w:rPr>
                <w:color w:val="002060"/>
              </w:rPr>
            </w:pPr>
            <w:r>
              <w:rPr>
                <w:color w:val="002060"/>
              </w:rPr>
              <w:t>Note that when proposals seem promising but are not considered strong enough to fund, some funding agencies allow applicants to revise their proposals and resubmit them for potential funding. The applicant can then decide whether to do so. When revising and resubmitting proposals, applicants should pay careful attention to the advice provided by the peer reviewers.</w:t>
            </w:r>
          </w:p>
          <w:p w:rsidR="00FE168E" w:rsidRDefault="00FE168E" w:rsidP="00B4770D">
            <w:pPr>
              <w:pStyle w:val="ListParagraph"/>
              <w:framePr w:hSpace="0" w:wrap="auto" w:vAnchor="margin" w:hAnchor="text" w:yAlign="inline"/>
              <w:numPr>
                <w:ilvl w:val="1"/>
                <w:numId w:val="4"/>
              </w:numPr>
              <w:rPr>
                <w:color w:val="002060"/>
              </w:rPr>
            </w:pPr>
            <w:r>
              <w:rPr>
                <w:color w:val="002060"/>
              </w:rPr>
              <w:t>If appropriate, perhaps share or ask about experience revising and resubmitting proposals not initially accepted.</w:t>
            </w:r>
          </w:p>
          <w:p w:rsidR="00521438" w:rsidRPr="00D60E4A"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E95AE6">
              <w:rPr>
                <w:color w:val="002060"/>
              </w:rPr>
              <w:t>Writing a Proposal: General Advice</w:t>
            </w:r>
            <w:r w:rsidRPr="00D60E4A">
              <w:rPr>
                <w:color w:val="002060"/>
              </w:rPr>
              <w:t>”)</w:t>
            </w:r>
          </w:p>
          <w:p w:rsidR="00D60E4A" w:rsidRDefault="00E95AE6" w:rsidP="00D60E4A">
            <w:pPr>
              <w:pStyle w:val="ListParagraph"/>
              <w:framePr w:hSpace="0" w:wrap="auto" w:vAnchor="margin" w:hAnchor="text" w:yAlign="inline"/>
              <w:numPr>
                <w:ilvl w:val="1"/>
                <w:numId w:val="4"/>
              </w:numPr>
              <w:rPr>
                <w:color w:val="002060"/>
              </w:rPr>
            </w:pPr>
            <w:r>
              <w:rPr>
                <w:color w:val="002060"/>
              </w:rPr>
              <w:t>(This</w:t>
            </w:r>
            <w:r w:rsidR="001E2DCC">
              <w:rPr>
                <w:color w:val="002060"/>
              </w:rPr>
              <w:t xml:space="preserve"> slide</w:t>
            </w:r>
            <w:r>
              <w:rPr>
                <w:color w:val="002060"/>
              </w:rPr>
              <w:t xml:space="preserve"> is just a transition slide.)</w:t>
            </w:r>
          </w:p>
          <w:p w:rsidR="00681023" w:rsidRPr="007E27E0" w:rsidRDefault="00681023" w:rsidP="00681023">
            <w:pPr>
              <w:pStyle w:val="ListParagraph"/>
              <w:framePr w:hSpace="0" w:wrap="auto" w:vAnchor="margin" w:hAnchor="text" w:yAlign="inline"/>
              <w:rPr>
                <w:color w:val="002060"/>
              </w:rPr>
            </w:pPr>
            <w:r w:rsidRPr="007E27E0">
              <w:rPr>
                <w:color w:val="002060"/>
              </w:rPr>
              <w:t xml:space="preserve">Slide </w:t>
            </w:r>
            <w:r w:rsidR="00A45ADC">
              <w:rPr>
                <w:color w:val="002060"/>
              </w:rPr>
              <w:t>9</w:t>
            </w:r>
            <w:r w:rsidRPr="007E27E0">
              <w:rPr>
                <w:color w:val="002060"/>
              </w:rPr>
              <w:t xml:space="preserve"> (“</w:t>
            </w:r>
            <w:r w:rsidR="001E2DCC">
              <w:rPr>
                <w:color w:val="002060"/>
              </w:rPr>
              <w:t>Key Advice on Preparing Proposals</w:t>
            </w:r>
            <w:r w:rsidRPr="007E27E0">
              <w:rPr>
                <w:color w:val="002060"/>
              </w:rPr>
              <w:t>”)</w:t>
            </w:r>
          </w:p>
          <w:p w:rsidR="000E08FB" w:rsidRDefault="001E2DCC" w:rsidP="00D87446">
            <w:pPr>
              <w:pStyle w:val="ListParagraph"/>
              <w:framePr w:hSpace="0" w:wrap="auto" w:vAnchor="margin" w:hAnchor="text" w:yAlign="inline"/>
              <w:numPr>
                <w:ilvl w:val="1"/>
                <w:numId w:val="4"/>
              </w:numPr>
              <w:rPr>
                <w:color w:val="002060"/>
              </w:rPr>
            </w:pPr>
            <w:r>
              <w:rPr>
                <w:color w:val="002060"/>
              </w:rPr>
              <w:t>Briefly state these points. Note that these points are discussed further elsewhere in the workshop or unit.</w:t>
            </w:r>
          </w:p>
          <w:p w:rsidR="00870559" w:rsidRPr="00870559" w:rsidRDefault="00870559" w:rsidP="00870559">
            <w:pPr>
              <w:pStyle w:val="ListParagraph"/>
              <w:framePr w:hSpace="0" w:wrap="auto" w:vAnchor="margin" w:hAnchor="text" w:yAlign="inline"/>
            </w:pPr>
            <w:r>
              <w:rPr>
                <w:color w:val="002060"/>
              </w:rPr>
              <w:t>Slide 10 (“</w:t>
            </w:r>
            <w:r w:rsidR="001E2DCC">
              <w:rPr>
                <w:color w:val="002060"/>
              </w:rPr>
              <w:t>Small-Group Session: Your Proposed Project</w:t>
            </w:r>
            <w:r>
              <w:rPr>
                <w:color w:val="002060"/>
              </w:rPr>
              <w:t>”)</w:t>
            </w:r>
          </w:p>
          <w:p w:rsidR="007C3E59" w:rsidRPr="001E2DCC" w:rsidRDefault="001E2DCC" w:rsidP="001E2DCC">
            <w:pPr>
              <w:pStyle w:val="ListParagraph"/>
              <w:framePr w:hSpace="0" w:wrap="auto" w:vAnchor="margin" w:hAnchor="text" w:yAlign="inline"/>
              <w:numPr>
                <w:ilvl w:val="1"/>
                <w:numId w:val="4"/>
              </w:numPr>
            </w:pPr>
            <w:r>
              <w:rPr>
                <w:color w:val="002060"/>
              </w:rPr>
              <w:t>(This slide is just a transition slide.)</w:t>
            </w:r>
          </w:p>
          <w:p w:rsidR="001E2DCC" w:rsidRPr="001E2DCC" w:rsidRDefault="001E2DCC" w:rsidP="001E2DCC">
            <w:pPr>
              <w:pStyle w:val="ListParagraph"/>
              <w:framePr w:hSpace="0" w:wrap="auto" w:vAnchor="margin" w:hAnchor="text" w:yAlign="inline"/>
            </w:pPr>
            <w:r>
              <w:rPr>
                <w:color w:val="002060"/>
              </w:rPr>
              <w:t>Slide 11 (“Your Proposed Project”)</w:t>
            </w:r>
          </w:p>
          <w:p w:rsidR="001E2DCC" w:rsidRPr="001E2DCC" w:rsidRDefault="001E2DCC" w:rsidP="001E2DCC">
            <w:pPr>
              <w:pStyle w:val="ListParagraph"/>
              <w:framePr w:hSpace="0" w:wrap="auto" w:vAnchor="margin" w:hAnchor="text" w:yAlign="inline"/>
              <w:numPr>
                <w:ilvl w:val="1"/>
                <w:numId w:val="4"/>
              </w:numPr>
            </w:pPr>
            <w:r>
              <w:rPr>
                <w:color w:val="002060"/>
              </w:rPr>
              <w:t>This slide contains instructions for the small-group exercise. Ideally, this exercise should be done in groups of about three participants.</w:t>
            </w:r>
          </w:p>
          <w:p w:rsidR="001E2DCC" w:rsidRPr="00CF5A52" w:rsidRDefault="001E2DCC" w:rsidP="001E2DCC">
            <w:pPr>
              <w:pStyle w:val="ListParagraph"/>
              <w:framePr w:hSpace="0" w:wrap="auto" w:vAnchor="margin" w:hAnchor="text" w:yAlign="inline"/>
              <w:numPr>
                <w:ilvl w:val="1"/>
                <w:numId w:val="4"/>
              </w:numPr>
            </w:pPr>
            <w:r>
              <w:rPr>
                <w:color w:val="002060"/>
              </w:rPr>
              <w:t>In introducing this exercise, perhaps note that a common problem</w:t>
            </w:r>
            <w:r w:rsidR="00CF5A52">
              <w:rPr>
                <w:color w:val="002060"/>
              </w:rPr>
              <w:t xml:space="preserve"> in proposals</w:t>
            </w:r>
            <w:r>
              <w:rPr>
                <w:color w:val="002060"/>
              </w:rPr>
              <w:t xml:space="preserve"> is failure to make explicit why the proposed work would be value. Although the value might be obvious to the </w:t>
            </w:r>
            <w:r w:rsidR="00CF5A52">
              <w:rPr>
                <w:color w:val="002060"/>
              </w:rPr>
              <w:t>author</w:t>
            </w:r>
            <w:r>
              <w:rPr>
                <w:color w:val="002060"/>
              </w:rPr>
              <w:t>, it might not be obvious to those evaluating the proposal.</w:t>
            </w:r>
          </w:p>
          <w:p w:rsidR="00CF5A52" w:rsidRPr="00CF5A52" w:rsidRDefault="00CF5A52" w:rsidP="001E2DCC">
            <w:pPr>
              <w:pStyle w:val="ListParagraph"/>
              <w:framePr w:hSpace="0" w:wrap="auto" w:vAnchor="margin" w:hAnchor="text" w:yAlign="inline"/>
              <w:numPr>
                <w:ilvl w:val="1"/>
                <w:numId w:val="4"/>
              </w:numPr>
            </w:pPr>
            <w:r>
              <w:rPr>
                <w:color w:val="002060"/>
              </w:rPr>
              <w:t>If the group is relatively small (perhaps about a dozen participants or less), have all participants report to the full group at the end. If possible, include time for questions.</w:t>
            </w:r>
          </w:p>
          <w:p w:rsidR="00CF5A52" w:rsidRDefault="00CF5A52" w:rsidP="001E2DCC">
            <w:pPr>
              <w:pStyle w:val="ListParagraph"/>
              <w:framePr w:hSpace="0" w:wrap="auto" w:vAnchor="margin" w:hAnchor="text" w:yAlign="inline"/>
              <w:numPr>
                <w:ilvl w:val="1"/>
                <w:numId w:val="4"/>
              </w:numPr>
            </w:pPr>
            <w:r>
              <w:rPr>
                <w:color w:val="002060"/>
              </w:rPr>
              <w:t xml:space="preserve">If the group is relatively large, perhaps do one of the following: (1) have only some participants (for example, one from each small group) report to the full group on what they propose and why, (2) pair up small groups, and have the members of each small group report to the members of one other small group, or (3) divide the group in half or thirds, and have each participant </w:t>
            </w:r>
            <w:r>
              <w:rPr>
                <w:color w:val="002060"/>
              </w:rPr>
              <w:lastRenderedPageBreak/>
              <w:t>report to the rest of that group.</w:t>
            </w:r>
          </w:p>
          <w:p w:rsidR="008D32B9" w:rsidRPr="007E27E0" w:rsidRDefault="00A45ADC" w:rsidP="00DB749F">
            <w:pPr>
              <w:pStyle w:val="ListParagraph"/>
              <w:framePr w:hSpace="0" w:wrap="auto" w:vAnchor="margin" w:hAnchor="text" w:yAlign="inline"/>
              <w:rPr>
                <w:color w:val="002060"/>
              </w:rPr>
            </w:pPr>
            <w:r>
              <w:rPr>
                <w:color w:val="002060"/>
              </w:rPr>
              <w:t>Slide 1</w:t>
            </w:r>
            <w:r w:rsidR="00903736">
              <w:rPr>
                <w:color w:val="002060"/>
              </w:rPr>
              <w:t>2</w:t>
            </w:r>
            <w:r w:rsidR="008D32B9" w:rsidRPr="007E27E0">
              <w:rPr>
                <w:color w:val="002060"/>
              </w:rPr>
              <w:t xml:space="preserve"> (“</w:t>
            </w:r>
            <w:r w:rsidR="006D298A">
              <w:rPr>
                <w:color w:val="002060"/>
              </w:rPr>
              <w:t>Example</w:t>
            </w:r>
            <w:r w:rsidR="008D32B9" w:rsidRPr="007E27E0">
              <w:rPr>
                <w:color w:val="002060"/>
              </w:rPr>
              <w:t>”)</w:t>
            </w:r>
          </w:p>
          <w:p w:rsidR="006D298A" w:rsidRPr="007E27E0" w:rsidRDefault="008325B7" w:rsidP="006D298A">
            <w:pPr>
              <w:pStyle w:val="ListParagraph"/>
              <w:framePr w:hSpace="0" w:wrap="auto" w:vAnchor="margin" w:hAnchor="text" w:yAlign="inline"/>
              <w:numPr>
                <w:ilvl w:val="1"/>
                <w:numId w:val="4"/>
              </w:numPr>
              <w:rPr>
                <w:color w:val="002060"/>
              </w:rPr>
            </w:pPr>
            <w:proofErr w:type="gramStart"/>
            <w:r>
              <w:rPr>
                <w:color w:val="002060"/>
              </w:rPr>
              <w:t xml:space="preserve">This slide </w:t>
            </w:r>
            <w:r w:rsidR="0064201D">
              <w:rPr>
                <w:color w:val="002060"/>
              </w:rPr>
              <w:t>shows</w:t>
            </w:r>
            <w:proofErr w:type="gramEnd"/>
            <w:r>
              <w:rPr>
                <w:color w:val="002060"/>
              </w:rPr>
              <w:t xml:space="preserve"> a nontechnical example of what a participant might say when reporting at the end of the exercise presented in the previous slide.</w:t>
            </w:r>
          </w:p>
          <w:p w:rsidR="002A037A" w:rsidRDefault="008325B7" w:rsidP="006946C9">
            <w:pPr>
              <w:pStyle w:val="ListParagraph"/>
              <w:framePr w:hSpace="0" w:wrap="auto" w:vAnchor="margin" w:hAnchor="text" w:yAlign="inline"/>
              <w:numPr>
                <w:ilvl w:val="1"/>
                <w:numId w:val="4"/>
              </w:numPr>
              <w:rPr>
                <w:color w:val="002060"/>
              </w:rPr>
            </w:pPr>
            <w:r>
              <w:rPr>
                <w:color w:val="002060"/>
              </w:rPr>
              <w:t>Facilitators should feel free to substitute or add examples of their own.</w:t>
            </w:r>
          </w:p>
          <w:p w:rsidR="008325B7" w:rsidRDefault="008325B7" w:rsidP="006946C9">
            <w:pPr>
              <w:pStyle w:val="ListParagraph"/>
              <w:framePr w:hSpace="0" w:wrap="auto" w:vAnchor="margin" w:hAnchor="text" w:yAlign="inline"/>
              <w:numPr>
                <w:ilvl w:val="1"/>
                <w:numId w:val="4"/>
              </w:numPr>
              <w:rPr>
                <w:color w:val="002060"/>
              </w:rPr>
            </w:pPr>
            <w:r>
              <w:rPr>
                <w:color w:val="002060"/>
              </w:rPr>
              <w:t>The example(s) should be shown when giving the instructions for the exercise.</w:t>
            </w:r>
          </w:p>
          <w:p w:rsidR="0064201D" w:rsidRPr="0064201D" w:rsidRDefault="0064201D" w:rsidP="0064201D">
            <w:pPr>
              <w:pStyle w:val="ListParagraph"/>
              <w:framePr w:hSpace="0" w:wrap="auto" w:vAnchor="margin" w:hAnchor="text" w:yAlign="inline"/>
            </w:pPr>
            <w:r>
              <w:rPr>
                <w:color w:val="002060"/>
              </w:rPr>
              <w:t>Slide 13 (“In Conclusion”)</w:t>
            </w:r>
          </w:p>
          <w:p w:rsidR="0064201D" w:rsidRPr="0064201D" w:rsidRDefault="000F59FB" w:rsidP="0064201D">
            <w:pPr>
              <w:pStyle w:val="ListParagraph"/>
              <w:framePr w:hSpace="0" w:wrap="auto" w:vAnchor="margin" w:hAnchor="text" w:yAlign="inline"/>
              <w:numPr>
                <w:ilvl w:val="1"/>
                <w:numId w:val="4"/>
              </w:numPr>
            </w:pPr>
            <w:r>
              <w:rPr>
                <w:color w:val="002060"/>
              </w:rPr>
              <w:t>Perhaps</w:t>
            </w:r>
            <w:r w:rsidR="0064201D">
              <w:rPr>
                <w:color w:val="002060"/>
              </w:rPr>
              <w:t xml:space="preserve"> ask for questions and </w:t>
            </w:r>
            <w:r>
              <w:rPr>
                <w:color w:val="002060"/>
              </w:rPr>
              <w:t xml:space="preserve">request </w:t>
            </w:r>
            <w:r w:rsidR="0064201D">
              <w:rPr>
                <w:color w:val="002060"/>
              </w:rPr>
              <w:t>any other points that participants would like to make.</w:t>
            </w:r>
          </w:p>
          <w:p w:rsidR="0064201D" w:rsidRPr="000F59FB" w:rsidRDefault="000F59FB" w:rsidP="000F59FB">
            <w:pPr>
              <w:pStyle w:val="ListParagraph"/>
              <w:framePr w:hSpace="0" w:wrap="auto" w:vAnchor="margin" w:hAnchor="text" w:yAlign="inline"/>
              <w:numPr>
                <w:ilvl w:val="1"/>
                <w:numId w:val="4"/>
              </w:numPr>
            </w:pPr>
            <w:r>
              <w:rPr>
                <w:color w:val="002060"/>
              </w:rPr>
              <w:t>W</w:t>
            </w:r>
            <w:r w:rsidR="0064201D">
              <w:rPr>
                <w:color w:val="002060"/>
              </w:rPr>
              <w:t xml:space="preserve">rap up </w:t>
            </w:r>
            <w:r>
              <w:rPr>
                <w:color w:val="002060"/>
              </w:rPr>
              <w:t>the session</w:t>
            </w:r>
            <w:r w:rsidR="0064201D">
              <w:rPr>
                <w:color w:val="002060"/>
              </w:rPr>
              <w:t xml:space="preserve">, for example by </w:t>
            </w:r>
            <w:r>
              <w:rPr>
                <w:color w:val="002060"/>
              </w:rPr>
              <w:t>expressing the hope that this module has provided good orientation to grant-proposal preparation, restating one or more key messages,</w:t>
            </w:r>
            <w:r w:rsidR="0064201D">
              <w:rPr>
                <w:color w:val="002060"/>
              </w:rPr>
              <w:t xml:space="preserve"> and </w:t>
            </w:r>
            <w:r>
              <w:rPr>
                <w:color w:val="002060"/>
              </w:rPr>
              <w:t>noting</w:t>
            </w:r>
            <w:r w:rsidR="0064201D">
              <w:rPr>
                <w:color w:val="002060"/>
              </w:rPr>
              <w:t xml:space="preserve"> the subject of the next module.</w:t>
            </w:r>
          </w:p>
          <w:p w:rsidR="000F59FB" w:rsidRPr="000F59FB" w:rsidRDefault="000F59FB" w:rsidP="000F59FB">
            <w:pPr>
              <w:pStyle w:val="ListParagraph"/>
              <w:framePr w:hSpace="0" w:wrap="auto" w:vAnchor="margin" w:hAnchor="text" w:yAlign="inline"/>
            </w:pPr>
            <w:r>
              <w:rPr>
                <w:color w:val="002060"/>
              </w:rPr>
              <w:t xml:space="preserve">Slide 14 (“Wishing you much success!”) and Slide 15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9"/>
      <w:headerReference w:type="default" r:id="rId10"/>
      <w:footerReference w:type="even" r:id="rId11"/>
      <w:footerReference w:type="default" r:id="rId12"/>
      <w:headerReference w:type="first" r:id="rId13"/>
      <w:footerReference w:type="first" r:id="rId14"/>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07B1">
      <w:rPr>
        <w:rStyle w:val="PageNumber"/>
        <w:noProof/>
      </w:rPr>
      <w:t>2</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fldSimple w:instr=" FILENAME  \* Caps  \* MERGEFORMAT ">
      <w:r w:rsidR="002A037A">
        <w:rPr>
          <w:noProof/>
        </w:rPr>
        <w:t>Document3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07B1">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fldSimple w:instr=" FILENAME  \* Caps  \* MERGEFORMAT ">
      <w:r w:rsidR="002A037A">
        <w:rPr>
          <w:noProof/>
        </w:rPr>
        <w:t>Document3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EFB802C6"/>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21A1C"/>
    <w:rsid w:val="0003696A"/>
    <w:rsid w:val="000421BE"/>
    <w:rsid w:val="00065F79"/>
    <w:rsid w:val="00084781"/>
    <w:rsid w:val="0008576F"/>
    <w:rsid w:val="000B36AF"/>
    <w:rsid w:val="000E08FB"/>
    <w:rsid w:val="000F13AF"/>
    <w:rsid w:val="000F3BC9"/>
    <w:rsid w:val="000F59FB"/>
    <w:rsid w:val="000F7A31"/>
    <w:rsid w:val="001129FD"/>
    <w:rsid w:val="00132E50"/>
    <w:rsid w:val="0013447F"/>
    <w:rsid w:val="00155972"/>
    <w:rsid w:val="001569EE"/>
    <w:rsid w:val="001A5E8D"/>
    <w:rsid w:val="001D4CE5"/>
    <w:rsid w:val="001E0ABB"/>
    <w:rsid w:val="001E2DCC"/>
    <w:rsid w:val="00207394"/>
    <w:rsid w:val="00232D2D"/>
    <w:rsid w:val="002338EF"/>
    <w:rsid w:val="0026063D"/>
    <w:rsid w:val="00262ED7"/>
    <w:rsid w:val="00265889"/>
    <w:rsid w:val="00275BA0"/>
    <w:rsid w:val="0029029C"/>
    <w:rsid w:val="002952A0"/>
    <w:rsid w:val="002A037A"/>
    <w:rsid w:val="002A07B1"/>
    <w:rsid w:val="002C2EF7"/>
    <w:rsid w:val="002C619D"/>
    <w:rsid w:val="002E6CDC"/>
    <w:rsid w:val="00312603"/>
    <w:rsid w:val="003179A8"/>
    <w:rsid w:val="00334829"/>
    <w:rsid w:val="00361DE5"/>
    <w:rsid w:val="0036730C"/>
    <w:rsid w:val="0037286D"/>
    <w:rsid w:val="00373BB6"/>
    <w:rsid w:val="00380F18"/>
    <w:rsid w:val="0038156B"/>
    <w:rsid w:val="00396B4A"/>
    <w:rsid w:val="003A0D95"/>
    <w:rsid w:val="003A1AA8"/>
    <w:rsid w:val="003E14A9"/>
    <w:rsid w:val="003E3EDA"/>
    <w:rsid w:val="003E7126"/>
    <w:rsid w:val="003F014B"/>
    <w:rsid w:val="003F3A94"/>
    <w:rsid w:val="004048A8"/>
    <w:rsid w:val="00410970"/>
    <w:rsid w:val="004137DB"/>
    <w:rsid w:val="0041765D"/>
    <w:rsid w:val="004338B1"/>
    <w:rsid w:val="00443ED6"/>
    <w:rsid w:val="00493E5A"/>
    <w:rsid w:val="004C6E51"/>
    <w:rsid w:val="004D1BAD"/>
    <w:rsid w:val="004D24C1"/>
    <w:rsid w:val="004D547C"/>
    <w:rsid w:val="004E2723"/>
    <w:rsid w:val="004E5DDF"/>
    <w:rsid w:val="004F7EC7"/>
    <w:rsid w:val="00521438"/>
    <w:rsid w:val="00525E75"/>
    <w:rsid w:val="00566678"/>
    <w:rsid w:val="0057487A"/>
    <w:rsid w:val="005A1DB3"/>
    <w:rsid w:val="005C1048"/>
    <w:rsid w:val="006032C9"/>
    <w:rsid w:val="006063AA"/>
    <w:rsid w:val="006411CF"/>
    <w:rsid w:val="0064201D"/>
    <w:rsid w:val="00650236"/>
    <w:rsid w:val="006527D1"/>
    <w:rsid w:val="006551BA"/>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36FA3"/>
    <w:rsid w:val="007429FD"/>
    <w:rsid w:val="007511FB"/>
    <w:rsid w:val="00751C5E"/>
    <w:rsid w:val="00795511"/>
    <w:rsid w:val="007C3E59"/>
    <w:rsid w:val="007E27E0"/>
    <w:rsid w:val="007E4533"/>
    <w:rsid w:val="00800286"/>
    <w:rsid w:val="00803F25"/>
    <w:rsid w:val="00804680"/>
    <w:rsid w:val="0080511C"/>
    <w:rsid w:val="00816A5D"/>
    <w:rsid w:val="008246DC"/>
    <w:rsid w:val="0082709A"/>
    <w:rsid w:val="008272DA"/>
    <w:rsid w:val="008325B7"/>
    <w:rsid w:val="00863905"/>
    <w:rsid w:val="00864C2D"/>
    <w:rsid w:val="00870559"/>
    <w:rsid w:val="00893BE3"/>
    <w:rsid w:val="008B64E4"/>
    <w:rsid w:val="008B7668"/>
    <w:rsid w:val="008C1EFE"/>
    <w:rsid w:val="008D32B9"/>
    <w:rsid w:val="008F4065"/>
    <w:rsid w:val="008F5264"/>
    <w:rsid w:val="008F5A43"/>
    <w:rsid w:val="00903736"/>
    <w:rsid w:val="00917FA6"/>
    <w:rsid w:val="0093614A"/>
    <w:rsid w:val="009400B3"/>
    <w:rsid w:val="00942055"/>
    <w:rsid w:val="0096064C"/>
    <w:rsid w:val="00974C03"/>
    <w:rsid w:val="00981C1B"/>
    <w:rsid w:val="009C4659"/>
    <w:rsid w:val="00A0616D"/>
    <w:rsid w:val="00A179EA"/>
    <w:rsid w:val="00A42A21"/>
    <w:rsid w:val="00A4492C"/>
    <w:rsid w:val="00A45ADC"/>
    <w:rsid w:val="00A537E1"/>
    <w:rsid w:val="00A86781"/>
    <w:rsid w:val="00A91DB2"/>
    <w:rsid w:val="00A948C0"/>
    <w:rsid w:val="00AA25F0"/>
    <w:rsid w:val="00AA3464"/>
    <w:rsid w:val="00AB7726"/>
    <w:rsid w:val="00AD6259"/>
    <w:rsid w:val="00AF130C"/>
    <w:rsid w:val="00B02D93"/>
    <w:rsid w:val="00B0707C"/>
    <w:rsid w:val="00B2216E"/>
    <w:rsid w:val="00B4770D"/>
    <w:rsid w:val="00B63657"/>
    <w:rsid w:val="00B71BA4"/>
    <w:rsid w:val="00B84FCE"/>
    <w:rsid w:val="00B87815"/>
    <w:rsid w:val="00BA4987"/>
    <w:rsid w:val="00BE3E2C"/>
    <w:rsid w:val="00BF5000"/>
    <w:rsid w:val="00C15A36"/>
    <w:rsid w:val="00C25795"/>
    <w:rsid w:val="00C45A36"/>
    <w:rsid w:val="00C60915"/>
    <w:rsid w:val="00C61FBB"/>
    <w:rsid w:val="00C63D24"/>
    <w:rsid w:val="00C67998"/>
    <w:rsid w:val="00C73920"/>
    <w:rsid w:val="00C90B03"/>
    <w:rsid w:val="00C96EF4"/>
    <w:rsid w:val="00CA4D38"/>
    <w:rsid w:val="00CC52E5"/>
    <w:rsid w:val="00CC5FF1"/>
    <w:rsid w:val="00CD43E9"/>
    <w:rsid w:val="00CE176E"/>
    <w:rsid w:val="00CE6E82"/>
    <w:rsid w:val="00CF4956"/>
    <w:rsid w:val="00CF5A52"/>
    <w:rsid w:val="00D246B6"/>
    <w:rsid w:val="00D30B93"/>
    <w:rsid w:val="00D5287C"/>
    <w:rsid w:val="00D52C37"/>
    <w:rsid w:val="00D550E4"/>
    <w:rsid w:val="00D60E4A"/>
    <w:rsid w:val="00D70735"/>
    <w:rsid w:val="00D87446"/>
    <w:rsid w:val="00D876D3"/>
    <w:rsid w:val="00DB2FBC"/>
    <w:rsid w:val="00DB749F"/>
    <w:rsid w:val="00DC505E"/>
    <w:rsid w:val="00DE36F6"/>
    <w:rsid w:val="00DE3F04"/>
    <w:rsid w:val="00DF38F3"/>
    <w:rsid w:val="00E01FDC"/>
    <w:rsid w:val="00E17E62"/>
    <w:rsid w:val="00E345C6"/>
    <w:rsid w:val="00E95521"/>
    <w:rsid w:val="00E95AE6"/>
    <w:rsid w:val="00EB2154"/>
    <w:rsid w:val="00EC0A87"/>
    <w:rsid w:val="00ED5161"/>
    <w:rsid w:val="00EE357D"/>
    <w:rsid w:val="00F02BD5"/>
    <w:rsid w:val="00F124A1"/>
    <w:rsid w:val="00F27539"/>
    <w:rsid w:val="00F36700"/>
    <w:rsid w:val="00FA13CF"/>
    <w:rsid w:val="00FB2D5F"/>
    <w:rsid w:val="00FD1FB6"/>
    <w:rsid w:val="00FD3F8E"/>
    <w:rsid w:val="00FD5018"/>
    <w:rsid w:val="00FE168E"/>
    <w:rsid w:val="00FE4A34"/>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4</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9</cp:revision>
  <dcterms:created xsi:type="dcterms:W3CDTF">2017-09-02T19:04:00Z</dcterms:created>
  <dcterms:modified xsi:type="dcterms:W3CDTF">2017-09-02T22:03:00Z</dcterms:modified>
</cp:coreProperties>
</file>